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4496A" w14:textId="77777777" w:rsidR="00AB488E" w:rsidRPr="009F3648" w:rsidRDefault="00AB488E" w:rsidP="009F3648">
      <w:pPr>
        <w:tabs>
          <w:tab w:val="left" w:pos="142"/>
        </w:tabs>
        <w:jc w:val="both"/>
        <w:rPr>
          <w:rFonts w:eastAsia="Calibri"/>
          <w:b/>
          <w:bCs/>
          <w:color w:val="E36C0A"/>
          <w:lang w:val="sv-SE"/>
        </w:rPr>
      </w:pPr>
      <w:r w:rsidRPr="009F3648">
        <w:rPr>
          <w:rFonts w:eastAsia="Calibri"/>
          <w:b/>
          <w:bCs/>
          <w:color w:val="E36C0A"/>
          <w:lang w:val="sv-SE"/>
        </w:rPr>
        <w:t>DETERMINANT PROFITABILITY AND IMPLICATIONS</w:t>
      </w:r>
      <w:r w:rsidR="00FC752A" w:rsidRPr="009F3648">
        <w:rPr>
          <w:rFonts w:eastAsia="Calibri"/>
          <w:b/>
          <w:bCs/>
          <w:color w:val="E36C0A"/>
          <w:lang w:val="id-ID"/>
        </w:rPr>
        <w:t xml:space="preserve"> </w:t>
      </w:r>
      <w:r w:rsidRPr="009F3648">
        <w:rPr>
          <w:rFonts w:eastAsia="Calibri"/>
          <w:b/>
          <w:bCs/>
          <w:color w:val="E36C0A"/>
          <w:lang w:val="sv-SE"/>
        </w:rPr>
        <w:t>ON THE VALUE OF THE COMPANY</w:t>
      </w:r>
    </w:p>
    <w:p w14:paraId="1A41227B" w14:textId="029AE7E0" w:rsidR="00AB488E" w:rsidRDefault="00AB488E" w:rsidP="00067C4D">
      <w:pPr>
        <w:jc w:val="both"/>
        <w:rPr>
          <w:rFonts w:eastAsia="Calibri"/>
          <w:b/>
          <w:bCs/>
          <w:color w:val="000000"/>
          <w:lang w:val="sv-SE"/>
        </w:rPr>
      </w:pPr>
      <w:r w:rsidRPr="00AB488E">
        <w:rPr>
          <w:rFonts w:eastAsia="Calibri"/>
          <w:b/>
          <w:bCs/>
          <w:color w:val="000000"/>
          <w:lang w:val="sv-SE"/>
        </w:rPr>
        <w:t xml:space="preserve">(Empirical Study on Banking Industry in </w:t>
      </w:r>
      <w:r w:rsidR="001E4534">
        <w:rPr>
          <w:rFonts w:eastAsia="Calibri"/>
          <w:b/>
          <w:bCs/>
          <w:color w:val="000000"/>
          <w:lang w:val="sv-SE"/>
        </w:rPr>
        <w:t>IDX</w:t>
      </w:r>
      <w:r w:rsidRPr="00AB488E">
        <w:rPr>
          <w:rFonts w:eastAsia="Calibri"/>
          <w:b/>
          <w:bCs/>
          <w:color w:val="000000"/>
          <w:lang w:val="sv-SE"/>
        </w:rPr>
        <w:t>)</w:t>
      </w:r>
    </w:p>
    <w:p w14:paraId="4FD47A49" w14:textId="77777777" w:rsidR="00067C4D" w:rsidRDefault="00067C4D" w:rsidP="00067C4D">
      <w:pPr>
        <w:tabs>
          <w:tab w:val="left" w:pos="142"/>
        </w:tabs>
        <w:spacing w:after="240"/>
        <w:jc w:val="both"/>
        <w:rPr>
          <w:rFonts w:eastAsia="Calibri"/>
          <w:lang w:val="id-ID"/>
        </w:rPr>
      </w:pPr>
    </w:p>
    <w:p w14:paraId="10062EC3" w14:textId="6355E553" w:rsidR="008E3866" w:rsidRPr="003A5CE5" w:rsidRDefault="008E3866" w:rsidP="008E3866">
      <w:pPr>
        <w:tabs>
          <w:tab w:val="left" w:pos="142"/>
        </w:tabs>
        <w:rPr>
          <w:rFonts w:eastAsia="Calibri"/>
          <w:sz w:val="18"/>
          <w:szCs w:val="18"/>
        </w:rPr>
      </w:pPr>
      <w:r w:rsidRPr="003A5CE5">
        <w:rPr>
          <w:rFonts w:eastAsia="Calibri"/>
        </w:rPr>
        <w:t>Luqman Hakim</w:t>
      </w:r>
      <w:r w:rsidR="00435EF9">
        <w:rPr>
          <w:rFonts w:eastAsia="Calibri"/>
        </w:rPr>
        <w:t>*</w:t>
      </w:r>
      <w:r w:rsidRPr="003A5CE5">
        <w:rPr>
          <w:rFonts w:eastAsia="Calibri"/>
        </w:rPr>
        <w:t xml:space="preserve"> </w:t>
      </w:r>
      <w:r w:rsidRPr="003A5CE5">
        <w:rPr>
          <w:rFonts w:eastAsia="Calibri"/>
          <w:sz w:val="18"/>
          <w:szCs w:val="18"/>
        </w:rPr>
        <w:t>1)</w:t>
      </w:r>
      <w:r w:rsidRPr="003A5CE5">
        <w:rPr>
          <w:rFonts w:eastAsia="Calibri"/>
        </w:rPr>
        <w:t xml:space="preserve">; Sugianto </w:t>
      </w:r>
      <w:r w:rsidRPr="003A5CE5">
        <w:rPr>
          <w:rFonts w:eastAsia="Calibri"/>
          <w:sz w:val="18"/>
          <w:szCs w:val="18"/>
        </w:rPr>
        <w:t>2)</w:t>
      </w:r>
    </w:p>
    <w:p w14:paraId="583CA2C4" w14:textId="714B9AD5" w:rsidR="008E3866" w:rsidRDefault="00435EF9" w:rsidP="008E3866">
      <w:pPr>
        <w:tabs>
          <w:tab w:val="left" w:pos="142"/>
        </w:tabs>
        <w:spacing w:after="240"/>
        <w:rPr>
          <w:rFonts w:eastAsia="Calibri"/>
          <w:sz w:val="18"/>
          <w:szCs w:val="18"/>
        </w:rPr>
      </w:pPr>
      <w:r>
        <w:rPr>
          <w:rFonts w:eastAsia="Calibri"/>
          <w:sz w:val="18"/>
          <w:szCs w:val="18"/>
        </w:rPr>
        <w:t>*</w:t>
      </w:r>
      <w:r w:rsidR="008E3866" w:rsidRPr="003A5CE5">
        <w:rPr>
          <w:rFonts w:eastAsia="Calibri"/>
          <w:sz w:val="18"/>
          <w:szCs w:val="18"/>
        </w:rPr>
        <w:t xml:space="preserve">Email: </w:t>
      </w:r>
      <w:hyperlink r:id="rId8" w:history="1">
        <w:r w:rsidR="008E3866" w:rsidRPr="00700749">
          <w:rPr>
            <w:rStyle w:val="Hyperlink"/>
            <w:rFonts w:eastAsia="Calibri"/>
            <w:sz w:val="18"/>
            <w:szCs w:val="18"/>
          </w:rPr>
          <w:t>luqman106@yahoo.</w:t>
        </w:r>
        <w:r w:rsidR="008E3866" w:rsidRPr="00700749">
          <w:rPr>
            <w:rStyle w:val="Hyperlink"/>
            <w:rFonts w:eastAsia="Calibri"/>
            <w:sz w:val="18"/>
            <w:szCs w:val="18"/>
          </w:rPr>
          <w:t>c</w:t>
        </w:r>
        <w:r w:rsidR="008E3866" w:rsidRPr="00700749">
          <w:rPr>
            <w:rStyle w:val="Hyperlink"/>
            <w:rFonts w:eastAsia="Calibri"/>
            <w:sz w:val="18"/>
            <w:szCs w:val="18"/>
          </w:rPr>
          <w:t>om</w:t>
        </w:r>
      </w:hyperlink>
    </w:p>
    <w:p w14:paraId="265B46D1" w14:textId="624A9C2A" w:rsidR="008E3866" w:rsidRPr="003A5CE5" w:rsidRDefault="00435EF9" w:rsidP="008E3866">
      <w:pPr>
        <w:numPr>
          <w:ilvl w:val="0"/>
          <w:numId w:val="38"/>
        </w:numPr>
        <w:spacing w:line="276" w:lineRule="auto"/>
        <w:ind w:left="187" w:hanging="187"/>
        <w:rPr>
          <w:rFonts w:eastAsia="Calibri"/>
          <w:sz w:val="18"/>
          <w:szCs w:val="18"/>
        </w:rPr>
      </w:pPr>
      <w:r>
        <w:rPr>
          <w:rFonts w:eastAsia="Calibri"/>
          <w:sz w:val="18"/>
          <w:szCs w:val="18"/>
        </w:rPr>
        <w:t>Lecture of</w:t>
      </w:r>
      <w:r w:rsidR="008E3866" w:rsidRPr="003A5CE5">
        <w:rPr>
          <w:rFonts w:eastAsia="Calibri"/>
          <w:sz w:val="18"/>
          <w:szCs w:val="18"/>
        </w:rPr>
        <w:t xml:space="preserve"> </w:t>
      </w:r>
      <w:r>
        <w:rPr>
          <w:rFonts w:eastAsia="Calibri"/>
          <w:sz w:val="18"/>
          <w:szCs w:val="18"/>
        </w:rPr>
        <w:t xml:space="preserve">Economic Faculty at </w:t>
      </w:r>
      <w:r w:rsidR="008E3866" w:rsidRPr="003A5CE5">
        <w:rPr>
          <w:rFonts w:eastAsia="Calibri"/>
          <w:sz w:val="18"/>
          <w:szCs w:val="18"/>
        </w:rPr>
        <w:t>Universitas Persada Indonesia Y.A.I – Jakarta</w:t>
      </w:r>
      <w:r>
        <w:rPr>
          <w:rFonts w:eastAsia="Calibri"/>
          <w:sz w:val="18"/>
          <w:szCs w:val="18"/>
        </w:rPr>
        <w:t>. Indoneia</w:t>
      </w:r>
    </w:p>
    <w:p w14:paraId="16B89067" w14:textId="184BF14F" w:rsidR="008E3866" w:rsidRPr="003A5CE5" w:rsidRDefault="00435EF9" w:rsidP="008E3866">
      <w:pPr>
        <w:numPr>
          <w:ilvl w:val="0"/>
          <w:numId w:val="38"/>
        </w:numPr>
        <w:spacing w:after="240" w:line="276" w:lineRule="auto"/>
        <w:ind w:left="180" w:hanging="180"/>
        <w:rPr>
          <w:rFonts w:eastAsia="Calibri"/>
          <w:sz w:val="18"/>
          <w:szCs w:val="18"/>
        </w:rPr>
      </w:pPr>
      <w:r>
        <w:rPr>
          <w:rFonts w:eastAsia="Calibri"/>
          <w:sz w:val="18"/>
          <w:szCs w:val="18"/>
        </w:rPr>
        <w:t>Indonesian Banking Practice</w:t>
      </w:r>
    </w:p>
    <w:p w14:paraId="55AADB55" w14:textId="77777777" w:rsidR="00C10EA9" w:rsidRDefault="00C10EA9" w:rsidP="00C10EA9">
      <w:pPr>
        <w:spacing w:line="276" w:lineRule="auto"/>
        <w:jc w:val="both"/>
        <w:rPr>
          <w:rFonts w:eastAsia="Calibri"/>
          <w:b/>
        </w:rPr>
      </w:pPr>
    </w:p>
    <w:p w14:paraId="16AD22F3" w14:textId="77777777" w:rsidR="003A5CE5" w:rsidRPr="009F3648" w:rsidRDefault="00C10EA9" w:rsidP="00C10EA9">
      <w:pPr>
        <w:tabs>
          <w:tab w:val="left" w:pos="142"/>
        </w:tabs>
        <w:spacing w:after="200"/>
        <w:rPr>
          <w:rFonts w:eastAsia="Calibri"/>
        </w:rPr>
      </w:pPr>
      <w:r w:rsidRPr="009F3648">
        <w:rPr>
          <w:rFonts w:eastAsia="Calibri"/>
          <w:b/>
          <w:lang w:val="id-ID"/>
        </w:rPr>
        <w:t>A</w:t>
      </w:r>
      <w:r w:rsidR="00AB488E" w:rsidRPr="009F3648">
        <w:rPr>
          <w:rFonts w:eastAsia="Calibri"/>
          <w:b/>
        </w:rPr>
        <w:t>BSTRACT</w:t>
      </w:r>
    </w:p>
    <w:p w14:paraId="2B9E0144" w14:textId="7A9162A9" w:rsidR="00AB488E" w:rsidRPr="00A40E33" w:rsidRDefault="00AB488E" w:rsidP="008575B0">
      <w:pPr>
        <w:tabs>
          <w:tab w:val="left" w:pos="142"/>
        </w:tabs>
        <w:spacing w:after="40"/>
        <w:jc w:val="both"/>
        <w:rPr>
          <w:rFonts w:eastAsia="Calibri"/>
        </w:rPr>
      </w:pPr>
      <w:r w:rsidRPr="00AB488E">
        <w:rPr>
          <w:rFonts w:eastAsia="Calibri"/>
        </w:rPr>
        <w:t xml:space="preserve">This research is intended to test several factors affecting profitability that can impact the value of the company in the banking industry in Indonesia. Exogenous variables used are Company Growth, Capital Adequacy Ratio, Nonperforming Loan, Loan to Deposit Ratio, Operational Cost to Operating Income, Deposit Growth, with endogenous variable in first research model using Return </w:t>
      </w:r>
      <w:r w:rsidR="00A40E33">
        <w:rPr>
          <w:rFonts w:eastAsia="Calibri"/>
        </w:rPr>
        <w:t>o</w:t>
      </w:r>
      <w:r w:rsidRPr="00AB488E">
        <w:rPr>
          <w:rFonts w:eastAsia="Calibri"/>
        </w:rPr>
        <w:t>n Assets while in second res</w:t>
      </w:r>
      <w:r w:rsidR="00A40E33">
        <w:rPr>
          <w:rFonts w:eastAsia="Calibri"/>
        </w:rPr>
        <w:t>earch model using Company Value</w:t>
      </w:r>
      <w:r w:rsidRPr="00AB488E">
        <w:rPr>
          <w:rFonts w:eastAsia="Calibri"/>
        </w:rPr>
        <w:t>.</w:t>
      </w:r>
      <w:r w:rsidR="00A40E33">
        <w:rPr>
          <w:rFonts w:eastAsia="Calibri"/>
        </w:rPr>
        <w:t xml:space="preserve"> </w:t>
      </w:r>
      <w:r w:rsidRPr="00AB488E">
        <w:rPr>
          <w:rFonts w:eastAsia="Calibri"/>
        </w:rPr>
        <w:t>T</w:t>
      </w:r>
      <w:r w:rsidR="00AB4F61">
        <w:rPr>
          <w:rFonts w:eastAsia="Calibri"/>
        </w:rPr>
        <w:t>he type of data used onto</w:t>
      </w:r>
      <w:r w:rsidRPr="00AB488E">
        <w:rPr>
          <w:rFonts w:eastAsia="Calibri"/>
        </w:rPr>
        <w:t xml:space="preserve"> this study is secondary data in the form of time series and cross section with research objects of banking companies in Indonesia Stock Exchange (BEI) during the period 2010-2015 with a population of 42 companies. Of the population selected as a sample of 27 companies. Analysis of research results using multiple regression at the level of α = 10% with Eviews9 application which resulted Random Effect Model Estimation.</w:t>
      </w:r>
      <w:r w:rsidR="00A40E33">
        <w:rPr>
          <w:rFonts w:eastAsia="Calibri"/>
        </w:rPr>
        <w:t xml:space="preserve"> </w:t>
      </w:r>
      <w:r w:rsidRPr="00AB488E">
        <w:rPr>
          <w:rFonts w:eastAsia="Calibri"/>
        </w:rPr>
        <w:t>The result of t</w:t>
      </w:r>
      <w:r w:rsidR="00AB4F61">
        <w:rPr>
          <w:rFonts w:eastAsia="Calibri"/>
        </w:rPr>
        <w:t>he research with partial test of</w:t>
      </w:r>
      <w:r w:rsidRPr="00AB488E">
        <w:rPr>
          <w:rFonts w:eastAsia="Calibri"/>
        </w:rPr>
        <w:t xml:space="preserve"> the first research model is the variable of Company Growth significantly influence to profit ROA with positive correlation. Variable Capital Adequacy Ratio, Non-Performing Loan, DPK growth significantly affects ROA profitability with negative correlation. The company with the highest level of sensitivity is Bank International Indonesia with BNII trading code, while the smallest sensitivity is Bank MNC International with BABP trading code. This research model can be used significantly and the exogenous variable can explain the endogenous variable of 25.2%.</w:t>
      </w:r>
      <w:r w:rsidR="00A40E33">
        <w:rPr>
          <w:rFonts w:eastAsia="Calibri"/>
        </w:rPr>
        <w:t xml:space="preserve"> </w:t>
      </w:r>
      <w:r w:rsidRPr="00AB488E">
        <w:rPr>
          <w:rFonts w:eastAsia="Calibri"/>
          <w:color w:val="000000"/>
        </w:rPr>
        <w:t xml:space="preserve">In the second research model, the partial test produced Non-Performing Loan variable significantly </w:t>
      </w:r>
      <w:r w:rsidRPr="00860B21">
        <w:rPr>
          <w:rStyle w:val="Heading2Char"/>
          <w:rFonts w:ascii="Times New Roman" w:eastAsia="SimSun" w:hAnsi="Times New Roman"/>
          <w:b w:val="0"/>
          <w:i w:val="0"/>
          <w:sz w:val="24"/>
          <w:szCs w:val="24"/>
        </w:rPr>
        <w:t>influence</w:t>
      </w:r>
      <w:r w:rsidR="00AB4F61">
        <w:rPr>
          <w:rStyle w:val="Heading2Char"/>
          <w:rFonts w:ascii="Times New Roman" w:eastAsia="SimSun" w:hAnsi="Times New Roman"/>
          <w:b w:val="0"/>
          <w:i w:val="0"/>
          <w:sz w:val="24"/>
          <w:szCs w:val="24"/>
          <w:lang w:val="id-ID"/>
        </w:rPr>
        <w:t>s</w:t>
      </w:r>
      <w:r w:rsidRPr="00860B21">
        <w:rPr>
          <w:rFonts w:eastAsia="Calibri"/>
          <w:b/>
          <w:i/>
          <w:color w:val="000000"/>
        </w:rPr>
        <w:t xml:space="preserve"> </w:t>
      </w:r>
      <w:r w:rsidRPr="00A40E33">
        <w:rPr>
          <w:rFonts w:eastAsia="Calibri"/>
          <w:color w:val="000000"/>
        </w:rPr>
        <w:t>the</w:t>
      </w:r>
      <w:r w:rsidR="00AB4F61">
        <w:rPr>
          <w:rFonts w:eastAsia="Calibri"/>
          <w:color w:val="000000"/>
        </w:rPr>
        <w:t xml:space="preserve"> negative correlation between</w:t>
      </w:r>
      <w:r w:rsidRPr="00AB488E">
        <w:rPr>
          <w:rFonts w:eastAsia="Calibri"/>
          <w:color w:val="000000"/>
        </w:rPr>
        <w:t xml:space="preserve"> Corporate Value, as well as the growth of DPK significantly affects the firm's value with positive correlation, but ROA profitability as intervening variable does not function as mediation to explain to the value of the company. Although this second research model can be used significantly but the extent of exogenous variables can only explain the endogenous variable of 10.6%.</w:t>
      </w:r>
    </w:p>
    <w:p w14:paraId="67A354CF" w14:textId="77777777" w:rsidR="00C10EA9" w:rsidRDefault="00C10EA9">
      <w:pPr>
        <w:rPr>
          <w:rFonts w:eastAsia="Calibri"/>
          <w:lang w:val="id-ID"/>
        </w:rPr>
      </w:pPr>
    </w:p>
    <w:p w14:paraId="7F1DCF8B" w14:textId="77777777" w:rsidR="002A5036" w:rsidRDefault="002A5036">
      <w:pPr>
        <w:rPr>
          <w:rFonts w:eastAsia="Calibri"/>
          <w:b/>
        </w:rPr>
      </w:pPr>
    </w:p>
    <w:p w14:paraId="7FF9717F" w14:textId="77777777" w:rsidR="003A5CE5" w:rsidRPr="003A5CE5" w:rsidRDefault="00AB488E" w:rsidP="002A5036">
      <w:pPr>
        <w:ind w:left="1134" w:hanging="1134"/>
        <w:rPr>
          <w:b/>
        </w:rPr>
      </w:pPr>
      <w:r w:rsidRPr="00C10EA9">
        <w:rPr>
          <w:rFonts w:eastAsia="Calibri"/>
          <w:b/>
        </w:rPr>
        <w:t>Keywords</w:t>
      </w:r>
      <w:r w:rsidRPr="00AB488E">
        <w:rPr>
          <w:rFonts w:eastAsia="Calibri"/>
        </w:rPr>
        <w:t>: Firm Growth, Capital Adequacy Ratio (CAR), Nonperforming Loan (NPL), Loan to Deposit Ratio (LDR), Operating Cost to Operating Income (BOPO), Deposit Growth (DPK), Return On Assets (ROA), Value of The Firm (Tobin's Q).</w:t>
      </w:r>
    </w:p>
    <w:p w14:paraId="2770857C" w14:textId="77777777" w:rsidR="002A5036" w:rsidRDefault="002A5036" w:rsidP="002A5036">
      <w:pPr>
        <w:rPr>
          <w:b/>
        </w:rPr>
      </w:pPr>
      <w:r>
        <w:rPr>
          <w:b/>
        </w:rPr>
        <w:t>JEL Classification : G11</w:t>
      </w:r>
    </w:p>
    <w:p w14:paraId="284D86B3" w14:textId="22BD9F12" w:rsidR="003A5CE5" w:rsidRPr="003A5CE5" w:rsidRDefault="002A5036">
      <w:pPr>
        <w:rPr>
          <w:b/>
        </w:rPr>
      </w:pPr>
      <w:r>
        <w:rPr>
          <w:b/>
        </w:rPr>
        <w:t>_________________________________________________________________________________</w:t>
      </w:r>
    </w:p>
    <w:p w14:paraId="413551CD" w14:textId="77777777" w:rsidR="003A5CE5" w:rsidRPr="003A5CE5" w:rsidRDefault="003A5CE5">
      <w:pPr>
        <w:rPr>
          <w:b/>
        </w:rPr>
      </w:pPr>
    </w:p>
    <w:p w14:paraId="76015601" w14:textId="77777777" w:rsidR="0076748B" w:rsidRPr="009F3648" w:rsidRDefault="009F3648" w:rsidP="009F3648">
      <w:pPr>
        <w:numPr>
          <w:ilvl w:val="0"/>
          <w:numId w:val="39"/>
        </w:numPr>
        <w:jc w:val="center"/>
        <w:rPr>
          <w:b/>
          <w:color w:val="E36C0A"/>
          <w:lang w:val="id-ID"/>
        </w:rPr>
      </w:pPr>
      <w:r w:rsidRPr="009F3648">
        <w:rPr>
          <w:b/>
          <w:color w:val="E36C0A"/>
          <w:lang w:val="id-ID"/>
        </w:rPr>
        <w:t>INTRODUCTION</w:t>
      </w:r>
    </w:p>
    <w:p w14:paraId="2C4D65C4" w14:textId="77777777" w:rsidR="009F3648" w:rsidRPr="00AB488E" w:rsidRDefault="009F3648" w:rsidP="009F3648">
      <w:pPr>
        <w:ind w:left="720"/>
        <w:jc w:val="center"/>
        <w:rPr>
          <w:b/>
          <w:lang w:val="id-ID"/>
        </w:rPr>
      </w:pPr>
    </w:p>
    <w:p w14:paraId="3045DE5B" w14:textId="77777777" w:rsidR="00895B44" w:rsidRDefault="00AB488E" w:rsidP="006506AB">
      <w:pPr>
        <w:jc w:val="both"/>
      </w:pPr>
      <w:r w:rsidRPr="00AB488E">
        <w:rPr>
          <w:rFonts w:cs="Arial"/>
          <w:lang w:val="es-ES"/>
        </w:rPr>
        <w:t>The purpose of the company with reference to Theory of the Firm pioneered by Coase (1937) and developed by Will</w:t>
      </w:r>
      <w:r w:rsidR="002D21E8">
        <w:rPr>
          <w:rFonts w:cs="Arial"/>
          <w:lang w:val="es-ES"/>
        </w:rPr>
        <w:t>iamson (1979), namely maximizes</w:t>
      </w:r>
      <w:r w:rsidRPr="00AB488E">
        <w:rPr>
          <w:rFonts w:cs="Arial"/>
          <w:lang w:val="es-ES"/>
        </w:rPr>
        <w:t xml:space="preserve"> profitability and corporat</w:t>
      </w:r>
      <w:r w:rsidR="002D21E8">
        <w:rPr>
          <w:rFonts w:cs="Arial"/>
          <w:lang w:val="es-ES"/>
        </w:rPr>
        <w:t>e value. Maximizing the value to</w:t>
      </w:r>
      <w:r w:rsidRPr="00AB488E">
        <w:rPr>
          <w:rFonts w:cs="Arial"/>
          <w:lang w:val="es-ES"/>
        </w:rPr>
        <w:t xml:space="preserve"> the company is very important for the company, because the maximization of corporate value means maximizing shareholder wealth that is the main goal of the company. The value of the firm is the perception of investors to the success rate of companies that are often associated with stock prices.</w:t>
      </w:r>
    </w:p>
    <w:p w14:paraId="03700DD9" w14:textId="77777777" w:rsidR="009F3648" w:rsidRDefault="009F3648" w:rsidP="00B1047A">
      <w:pPr>
        <w:jc w:val="both"/>
        <w:rPr>
          <w:rFonts w:cs="Arial"/>
          <w:lang w:val="id-ID"/>
        </w:rPr>
      </w:pPr>
    </w:p>
    <w:p w14:paraId="7CCFE790" w14:textId="77777777" w:rsidR="00B1047A" w:rsidRDefault="00B1047A" w:rsidP="00B1047A">
      <w:pPr>
        <w:jc w:val="both"/>
      </w:pPr>
      <w:r>
        <w:t>One source of funding that has a major influence on the Indonesian economy is the banking industry. Banking is one of the cornerstones of Indonesia's economic development especially in the face of the era of free trade and globalization, both as an intermediary between the deficit sector (lack of funds) and surplus of funds and as agent of development (Wijaya, 2007).</w:t>
      </w:r>
    </w:p>
    <w:p w14:paraId="4EF3862F" w14:textId="77777777" w:rsidR="009F3648" w:rsidRDefault="009F3648" w:rsidP="00B1047A">
      <w:pPr>
        <w:jc w:val="both"/>
        <w:rPr>
          <w:lang w:val="id-ID"/>
        </w:rPr>
      </w:pPr>
    </w:p>
    <w:p w14:paraId="6F6F911D" w14:textId="77777777" w:rsidR="00B1047A" w:rsidRDefault="00B1047A" w:rsidP="00B1047A">
      <w:pPr>
        <w:jc w:val="both"/>
      </w:pPr>
      <w:r>
        <w:t xml:space="preserve">Since the second half of </w:t>
      </w:r>
      <w:r w:rsidR="002D21E8">
        <w:rPr>
          <w:lang w:val="id-ID"/>
        </w:rPr>
        <w:t xml:space="preserve">the </w:t>
      </w:r>
      <w:r>
        <w:t>2008, financial markets in various parts of the world experienced unfavorable economic conditions. This situation is triggered by the housing credit crisis in the United States that extends to investment and commodity markets. The collapse of the sub-prime mortgage</w:t>
      </w:r>
      <w:r w:rsidR="002D21E8">
        <w:rPr>
          <w:lang w:val="id-ID"/>
        </w:rPr>
        <w:t>s</w:t>
      </w:r>
      <w:r>
        <w:t xml:space="preserve"> market coupled with the sharp rise of the US dollar and a series of companies that went bankrupt and taken over by other entities caused the banking and financial crisis at the end of the year.</w:t>
      </w:r>
    </w:p>
    <w:p w14:paraId="261EEFC9" w14:textId="77777777" w:rsidR="009F3648" w:rsidRDefault="009F3648" w:rsidP="00B1047A">
      <w:pPr>
        <w:jc w:val="both"/>
        <w:rPr>
          <w:lang w:val="id-ID"/>
        </w:rPr>
      </w:pPr>
    </w:p>
    <w:p w14:paraId="0BE1BB61" w14:textId="77777777" w:rsidR="006B3994" w:rsidRDefault="00B1047A" w:rsidP="00B1047A">
      <w:pPr>
        <w:jc w:val="both"/>
        <w:rPr>
          <w:lang w:val="id-ID"/>
        </w:rPr>
      </w:pPr>
      <w:r>
        <w:t>For the banking sector in Indonesia in general, the crisis is caused by</w:t>
      </w:r>
      <w:r w:rsidR="002D21E8">
        <w:rPr>
          <w:lang w:val="id-ID"/>
        </w:rPr>
        <w:t xml:space="preserve"> </w:t>
      </w:r>
      <w:r>
        <w:t>limited liquidity in both rupiah and in foreign currency, the scarcity of credit facilities resulting from co</w:t>
      </w:r>
      <w:r w:rsidR="002D21E8">
        <w:t>nsolidation policies by banks o</w:t>
      </w:r>
      <w:r w:rsidR="002D21E8">
        <w:rPr>
          <w:lang w:val="id-ID"/>
        </w:rPr>
        <w:t>f</w:t>
      </w:r>
      <w:r>
        <w:t xml:space="preserve"> their credit portfolios, rising interest rates and rising borrowing costs in line with rising credit risk.</w:t>
      </w:r>
    </w:p>
    <w:p w14:paraId="6DDE250B" w14:textId="77777777" w:rsidR="009F3648" w:rsidRDefault="009F3648" w:rsidP="00B1047A">
      <w:pPr>
        <w:jc w:val="both"/>
        <w:rPr>
          <w:color w:val="000000"/>
          <w:lang w:val="id-ID"/>
        </w:rPr>
      </w:pPr>
    </w:p>
    <w:p w14:paraId="7E4008A9" w14:textId="77777777" w:rsidR="00B1047A" w:rsidRPr="00B1047A" w:rsidRDefault="00B1047A" w:rsidP="00B1047A">
      <w:pPr>
        <w:jc w:val="both"/>
        <w:rPr>
          <w:color w:val="000000"/>
        </w:rPr>
      </w:pPr>
      <w:r w:rsidRPr="00B1047A">
        <w:rPr>
          <w:color w:val="000000"/>
        </w:rPr>
        <w:t>The current co</w:t>
      </w:r>
      <w:r w:rsidR="002D21E8">
        <w:rPr>
          <w:color w:val="000000"/>
        </w:rPr>
        <w:t>ndition of Indonesian banking are</w:t>
      </w:r>
      <w:r w:rsidRPr="00B1047A">
        <w:rPr>
          <w:color w:val="000000"/>
        </w:rPr>
        <w:t xml:space="preserve"> different from most developed countries' banking conditions which have an increase in NPLs and decreased capital. Loan disbursements dropped significantly due to shortfalls in both demand and supply side, unapproved but unused credit facilities increased, the LDR also had a downward tendency so that banks reduced their exposure to foreign exchange risk, especially foreign banks and private foreign exchange banks. However, banks are able to maintain credit quality, NPLs can be maintained at 4% range. With a high level of credit quality, the bank is able to maintain its capital adequately. The national banking CAR is also high enough to give banks the ability to expand credit. This relatively strong banking condition provided significan</w:t>
      </w:r>
      <w:r w:rsidR="002D21E8">
        <w:rPr>
          <w:color w:val="000000"/>
        </w:rPr>
        <w:t>t expansion and credit growth of</w:t>
      </w:r>
      <w:r w:rsidRPr="00B1047A">
        <w:rPr>
          <w:color w:val="000000"/>
        </w:rPr>
        <w:t xml:space="preserve"> 2004-2012. Investment and consumption loans increased more than fivefold while working capital loans increased more than fourfold. Indonesian banks are able to accommodate this credit growth due to the low burden of credit elimination and relatively high capital. The banking financial performance of 2000 may be the best performance after the banking crisis of 1998, seen from the financial statements issued by banking companies that many banking companies had slumped in 2000 have shown improvement, which is marked by improvements in the Non Performing Loans (NPL), Capital Adequacy Ratio (CAR) and Net Interest Margin (NIM) (Mabruroh, 2004).</w:t>
      </w:r>
    </w:p>
    <w:p w14:paraId="79992A5C" w14:textId="77777777" w:rsidR="009F3648" w:rsidRDefault="00B1047A" w:rsidP="00B1047A">
      <w:pPr>
        <w:jc w:val="both"/>
        <w:rPr>
          <w:color w:val="000000"/>
          <w:lang w:val="id-ID"/>
        </w:rPr>
      </w:pPr>
      <w:r w:rsidRPr="00B1047A">
        <w:rPr>
          <w:color w:val="000000"/>
        </w:rPr>
        <w:t xml:space="preserve">     </w:t>
      </w:r>
    </w:p>
    <w:p w14:paraId="03FB0C14" w14:textId="77777777" w:rsidR="009F3648" w:rsidRDefault="00B1047A" w:rsidP="009F3648">
      <w:pPr>
        <w:jc w:val="both"/>
        <w:rPr>
          <w:color w:val="000000"/>
          <w:w w:val="101"/>
          <w:lang w:val="id-ID"/>
        </w:rPr>
      </w:pPr>
      <w:r w:rsidRPr="00B1047A">
        <w:rPr>
          <w:color w:val="000000"/>
        </w:rPr>
        <w:t>Financial ratio analysis is based on historical financial data whose main purpose is to give an indication of company performance in the future. The level of corporate health is important to improve efficiency in running its business, so that the ability to gain benefits can be increased which ultimately can avoid the possibility of bankruptcy in banking business (Wijaya, 2007).</w:t>
      </w:r>
      <w:r w:rsidR="00A015A9">
        <w:rPr>
          <w:color w:val="000000"/>
          <w:w w:val="101"/>
        </w:rPr>
        <w:t xml:space="preserve">     </w:t>
      </w:r>
    </w:p>
    <w:p w14:paraId="510B0A18" w14:textId="77777777" w:rsidR="009F3648" w:rsidRDefault="009F3648" w:rsidP="009F3648">
      <w:pPr>
        <w:jc w:val="both"/>
        <w:rPr>
          <w:color w:val="000000"/>
          <w:w w:val="101"/>
          <w:lang w:val="id-ID"/>
        </w:rPr>
      </w:pPr>
    </w:p>
    <w:p w14:paraId="2F8F28B7" w14:textId="77777777" w:rsidR="00B1047A" w:rsidRDefault="00B1047A" w:rsidP="009F3648">
      <w:pPr>
        <w:jc w:val="both"/>
        <w:rPr>
          <w:color w:val="000000"/>
          <w:w w:val="101"/>
        </w:rPr>
      </w:pPr>
      <w:r w:rsidRPr="00B1047A">
        <w:rPr>
          <w:color w:val="000000"/>
          <w:w w:val="101"/>
        </w:rPr>
        <w:t>In table 1., from the financial statements of the national commercial banks (including the banking of sharia banks because of data in the can from the consolidated financial statements) shows that in the year 2009 to 2011 CAR still shows a horizontal trend. CAR began to experience an increasing trend starting in 2011 until the year 2015 while ROA and Tobin have a tendency of decline in that period. In the loan ratio measured by LDR also experienced an</w:t>
      </w:r>
      <w:r w:rsidR="002D21E8">
        <w:rPr>
          <w:color w:val="000000"/>
          <w:w w:val="101"/>
        </w:rPr>
        <w:t xml:space="preserve"> increasing trend of growth of</w:t>
      </w:r>
      <w:r w:rsidRPr="00B1047A">
        <w:rPr>
          <w:color w:val="000000"/>
          <w:w w:val="101"/>
        </w:rPr>
        <w:t xml:space="preserve"> 2012 to 2015 while ROA and Tobin have a declining growth trend in that period. this phenomenon contradicts the usual phenomenon, which illustrates the inverse relationship of CAR and LDR growth trends with profitability growth trends (ROA) and corporate value (Tobin).</w:t>
      </w:r>
    </w:p>
    <w:p w14:paraId="2219C0D6" w14:textId="77777777" w:rsidR="009F3648" w:rsidRDefault="009F3648" w:rsidP="00A015A9">
      <w:pPr>
        <w:jc w:val="both"/>
        <w:rPr>
          <w:lang w:val="id-ID"/>
        </w:rPr>
      </w:pPr>
    </w:p>
    <w:p w14:paraId="510788BD" w14:textId="77777777" w:rsidR="000F36C0" w:rsidRDefault="00B1047A" w:rsidP="00A015A9">
      <w:pPr>
        <w:jc w:val="both"/>
      </w:pPr>
      <w:r w:rsidRPr="00B1047A">
        <w:rPr>
          <w:lang w:val="id-ID"/>
        </w:rPr>
        <w:t>In the NPL ratio or problematic credit data shows an increasing trend of growth from 2013 to 2015 while ROA and Tobin have a tendency of declining growth in that period. In the ratio of operational cost (BOPO) data shows the weakening trend of growth</w:t>
      </w:r>
      <w:r w:rsidR="002D21E8">
        <w:rPr>
          <w:lang w:val="id-ID"/>
        </w:rPr>
        <w:t xml:space="preserve"> of</w:t>
      </w:r>
      <w:r w:rsidRPr="00B1047A">
        <w:rPr>
          <w:lang w:val="id-ID"/>
        </w:rPr>
        <w:t xml:space="preserve"> the period 2009 - 2013 but experiencing </w:t>
      </w:r>
      <w:r w:rsidRPr="00B1047A">
        <w:rPr>
          <w:lang w:val="id-ID"/>
        </w:rPr>
        <w:lastRenderedPageBreak/>
        <w:t xml:space="preserve">an increasing trend of growth in the period 2013-2015 This trend has a trend contrary to the growth trend of ROA and Tobin in both periods. In the ratio of DPK data growth shows a declining growth trend from 2012 to 2015 this is in line with the growth trend of ROA and </w:t>
      </w:r>
      <w:r w:rsidRPr="009F3648">
        <w:rPr>
          <w:color w:val="000000"/>
          <w:lang w:val="id-ID"/>
        </w:rPr>
        <w:t>tobin</w:t>
      </w:r>
      <w:r w:rsidRPr="00B1047A">
        <w:rPr>
          <w:lang w:val="id-ID"/>
        </w:rPr>
        <w:t>.</w:t>
      </w:r>
      <w:r w:rsidR="000F36C0" w:rsidRPr="000F36C0">
        <w:rPr>
          <w:lang w:val="id-ID"/>
        </w:rPr>
        <w:t xml:space="preserve"> </w:t>
      </w:r>
    </w:p>
    <w:p w14:paraId="2915A0F0" w14:textId="77777777" w:rsidR="00B45CB8" w:rsidRDefault="00B45CB8" w:rsidP="000F36C0">
      <w:pPr>
        <w:ind w:firstLine="720"/>
        <w:jc w:val="both"/>
      </w:pPr>
    </w:p>
    <w:p w14:paraId="3DCBEEB4" w14:textId="77777777" w:rsidR="00CD18D5" w:rsidRPr="009F3648" w:rsidRDefault="009F3648" w:rsidP="009F3648">
      <w:pPr>
        <w:jc w:val="both"/>
        <w:rPr>
          <w:b/>
          <w:color w:val="000000"/>
          <w:spacing w:val="-3"/>
        </w:rPr>
      </w:pPr>
      <w:r w:rsidRPr="009F3648">
        <w:rPr>
          <w:b/>
          <w:color w:val="000000"/>
          <w:spacing w:val="-3"/>
          <w:lang w:val="id-ID"/>
        </w:rPr>
        <w:t xml:space="preserve">Table 1 : </w:t>
      </w:r>
      <w:r w:rsidR="00B1047A" w:rsidRPr="009F3648">
        <w:rPr>
          <w:b/>
          <w:color w:val="000000"/>
          <w:spacing w:val="-3"/>
        </w:rPr>
        <w:t>Financial Bank Ratio in Indonesia</w:t>
      </w:r>
      <w:r>
        <w:rPr>
          <w:b/>
          <w:color w:val="000000"/>
          <w:spacing w:val="-3"/>
          <w:lang w:val="id-ID"/>
        </w:rPr>
        <w:t xml:space="preserve"> </w:t>
      </w:r>
      <w:r w:rsidR="00B1047A" w:rsidRPr="009F3648">
        <w:rPr>
          <w:b/>
          <w:color w:val="000000"/>
          <w:spacing w:val="-3"/>
        </w:rPr>
        <w:t>2010-2015 Period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848"/>
        <w:gridCol w:w="848"/>
        <w:gridCol w:w="848"/>
        <w:gridCol w:w="848"/>
        <w:gridCol w:w="848"/>
        <w:gridCol w:w="848"/>
      </w:tblGrid>
      <w:tr w:rsidR="000B04E2" w:rsidRPr="009A62B4" w14:paraId="0FDA6E19" w14:textId="77777777" w:rsidTr="008057DA">
        <w:trPr>
          <w:trHeight w:val="704"/>
        </w:trPr>
        <w:tc>
          <w:tcPr>
            <w:tcW w:w="875" w:type="dxa"/>
            <w:shd w:val="clear" w:color="auto" w:fill="auto"/>
          </w:tcPr>
          <w:p w14:paraId="53914F39" w14:textId="77777777" w:rsidR="002B1C45" w:rsidRPr="009F3648" w:rsidRDefault="002B1C45" w:rsidP="008057DA">
            <w:pPr>
              <w:widowControl w:val="0"/>
              <w:autoSpaceDE w:val="0"/>
              <w:autoSpaceDN w:val="0"/>
              <w:adjustRightInd w:val="0"/>
              <w:spacing w:before="235" w:line="253" w:lineRule="exact"/>
              <w:jc w:val="center"/>
              <w:rPr>
                <w:rFonts w:ascii="Arial" w:hAnsi="Arial" w:cs="Arial"/>
                <w:b/>
                <w:color w:val="000000"/>
                <w:spacing w:val="-3"/>
                <w:sz w:val="16"/>
                <w:szCs w:val="16"/>
                <w:lang w:eastAsia="id-ID"/>
              </w:rPr>
            </w:pPr>
            <w:r w:rsidRPr="009F3648">
              <w:rPr>
                <w:rFonts w:ascii="Arial" w:hAnsi="Arial" w:cs="Arial"/>
                <w:b/>
                <w:color w:val="000000"/>
                <w:spacing w:val="-3"/>
                <w:sz w:val="16"/>
                <w:szCs w:val="16"/>
                <w:lang w:eastAsia="id-ID"/>
              </w:rPr>
              <w:t>RASIO</w:t>
            </w:r>
          </w:p>
        </w:tc>
        <w:tc>
          <w:tcPr>
            <w:tcW w:w="576" w:type="dxa"/>
            <w:shd w:val="clear" w:color="auto" w:fill="auto"/>
          </w:tcPr>
          <w:p w14:paraId="089923C3" w14:textId="77777777" w:rsidR="002B1C45" w:rsidRPr="009F3648" w:rsidRDefault="002B1C45" w:rsidP="008057DA">
            <w:pPr>
              <w:widowControl w:val="0"/>
              <w:autoSpaceDE w:val="0"/>
              <w:autoSpaceDN w:val="0"/>
              <w:adjustRightInd w:val="0"/>
              <w:spacing w:before="235" w:line="253" w:lineRule="exact"/>
              <w:jc w:val="center"/>
              <w:rPr>
                <w:b/>
                <w:color w:val="000000"/>
                <w:spacing w:val="-3"/>
                <w:sz w:val="16"/>
                <w:szCs w:val="16"/>
                <w:lang w:eastAsia="id-ID"/>
              </w:rPr>
            </w:pPr>
            <w:r w:rsidRPr="009F3648">
              <w:rPr>
                <w:b/>
                <w:color w:val="000000"/>
                <w:spacing w:val="-3"/>
                <w:sz w:val="16"/>
                <w:szCs w:val="16"/>
                <w:lang w:eastAsia="id-ID"/>
              </w:rPr>
              <w:t>2010</w:t>
            </w:r>
          </w:p>
        </w:tc>
        <w:tc>
          <w:tcPr>
            <w:tcW w:w="579" w:type="dxa"/>
            <w:shd w:val="clear" w:color="auto" w:fill="auto"/>
          </w:tcPr>
          <w:p w14:paraId="75FDB273" w14:textId="77777777" w:rsidR="002B1C45" w:rsidRPr="009F3648" w:rsidRDefault="002B1C45" w:rsidP="008057DA">
            <w:pPr>
              <w:widowControl w:val="0"/>
              <w:autoSpaceDE w:val="0"/>
              <w:autoSpaceDN w:val="0"/>
              <w:adjustRightInd w:val="0"/>
              <w:spacing w:before="235" w:line="253" w:lineRule="exact"/>
              <w:jc w:val="center"/>
              <w:rPr>
                <w:b/>
                <w:color w:val="000000"/>
                <w:spacing w:val="-3"/>
                <w:sz w:val="16"/>
                <w:szCs w:val="16"/>
                <w:lang w:eastAsia="id-ID"/>
              </w:rPr>
            </w:pPr>
            <w:r w:rsidRPr="009F3648">
              <w:rPr>
                <w:b/>
                <w:color w:val="000000"/>
                <w:spacing w:val="-3"/>
                <w:sz w:val="16"/>
                <w:szCs w:val="16"/>
                <w:lang w:eastAsia="id-ID"/>
              </w:rPr>
              <w:t>2011</w:t>
            </w:r>
          </w:p>
        </w:tc>
        <w:tc>
          <w:tcPr>
            <w:tcW w:w="576" w:type="dxa"/>
            <w:shd w:val="clear" w:color="auto" w:fill="auto"/>
          </w:tcPr>
          <w:p w14:paraId="20B3D1FA" w14:textId="77777777" w:rsidR="002B1C45" w:rsidRPr="009F3648" w:rsidRDefault="002B1C45" w:rsidP="008057DA">
            <w:pPr>
              <w:widowControl w:val="0"/>
              <w:autoSpaceDE w:val="0"/>
              <w:autoSpaceDN w:val="0"/>
              <w:adjustRightInd w:val="0"/>
              <w:spacing w:before="235" w:line="253" w:lineRule="exact"/>
              <w:jc w:val="center"/>
              <w:rPr>
                <w:b/>
                <w:color w:val="000000"/>
                <w:spacing w:val="-3"/>
                <w:sz w:val="16"/>
                <w:szCs w:val="16"/>
                <w:lang w:eastAsia="id-ID"/>
              </w:rPr>
            </w:pPr>
            <w:r w:rsidRPr="009F3648">
              <w:rPr>
                <w:b/>
                <w:color w:val="000000"/>
                <w:spacing w:val="-3"/>
                <w:sz w:val="16"/>
                <w:szCs w:val="16"/>
                <w:lang w:eastAsia="id-ID"/>
              </w:rPr>
              <w:t>2012</w:t>
            </w:r>
          </w:p>
        </w:tc>
        <w:tc>
          <w:tcPr>
            <w:tcW w:w="620" w:type="dxa"/>
            <w:shd w:val="clear" w:color="auto" w:fill="auto"/>
          </w:tcPr>
          <w:p w14:paraId="2D8B2263" w14:textId="77777777" w:rsidR="002B1C45" w:rsidRPr="009F3648" w:rsidRDefault="002B1C45" w:rsidP="008057DA">
            <w:pPr>
              <w:widowControl w:val="0"/>
              <w:autoSpaceDE w:val="0"/>
              <w:autoSpaceDN w:val="0"/>
              <w:adjustRightInd w:val="0"/>
              <w:spacing w:before="235" w:line="253" w:lineRule="exact"/>
              <w:jc w:val="center"/>
              <w:rPr>
                <w:b/>
                <w:color w:val="000000"/>
                <w:spacing w:val="-3"/>
                <w:sz w:val="16"/>
                <w:szCs w:val="16"/>
                <w:lang w:eastAsia="id-ID"/>
              </w:rPr>
            </w:pPr>
            <w:r w:rsidRPr="009F3648">
              <w:rPr>
                <w:b/>
                <w:color w:val="000000"/>
                <w:spacing w:val="-3"/>
                <w:sz w:val="16"/>
                <w:szCs w:val="16"/>
                <w:lang w:eastAsia="id-ID"/>
              </w:rPr>
              <w:t>2013</w:t>
            </w:r>
          </w:p>
        </w:tc>
        <w:tc>
          <w:tcPr>
            <w:tcW w:w="576" w:type="dxa"/>
            <w:shd w:val="clear" w:color="auto" w:fill="auto"/>
          </w:tcPr>
          <w:p w14:paraId="4DB2FD24" w14:textId="77777777" w:rsidR="002B1C45" w:rsidRPr="009F3648" w:rsidRDefault="002B1C45" w:rsidP="008057DA">
            <w:pPr>
              <w:widowControl w:val="0"/>
              <w:autoSpaceDE w:val="0"/>
              <w:autoSpaceDN w:val="0"/>
              <w:adjustRightInd w:val="0"/>
              <w:spacing w:before="235" w:line="253" w:lineRule="exact"/>
              <w:jc w:val="center"/>
              <w:rPr>
                <w:b/>
                <w:color w:val="000000"/>
                <w:spacing w:val="-3"/>
                <w:sz w:val="16"/>
                <w:szCs w:val="16"/>
                <w:lang w:eastAsia="id-ID"/>
              </w:rPr>
            </w:pPr>
            <w:r w:rsidRPr="009F3648">
              <w:rPr>
                <w:b/>
                <w:color w:val="000000"/>
                <w:spacing w:val="-3"/>
                <w:sz w:val="16"/>
                <w:szCs w:val="16"/>
                <w:lang w:eastAsia="id-ID"/>
              </w:rPr>
              <w:t>2014</w:t>
            </w:r>
          </w:p>
        </w:tc>
        <w:tc>
          <w:tcPr>
            <w:tcW w:w="617" w:type="dxa"/>
            <w:shd w:val="clear" w:color="auto" w:fill="auto"/>
          </w:tcPr>
          <w:p w14:paraId="66A62B5D" w14:textId="77777777" w:rsidR="002B1C45" w:rsidRPr="009F3648" w:rsidRDefault="002B1C45" w:rsidP="008057DA">
            <w:pPr>
              <w:widowControl w:val="0"/>
              <w:autoSpaceDE w:val="0"/>
              <w:autoSpaceDN w:val="0"/>
              <w:adjustRightInd w:val="0"/>
              <w:spacing w:before="235" w:line="253" w:lineRule="exact"/>
              <w:jc w:val="center"/>
              <w:rPr>
                <w:b/>
                <w:color w:val="000000"/>
                <w:spacing w:val="-3"/>
                <w:sz w:val="16"/>
                <w:szCs w:val="16"/>
                <w:lang w:eastAsia="id-ID"/>
              </w:rPr>
            </w:pPr>
            <w:r w:rsidRPr="009F3648">
              <w:rPr>
                <w:b/>
                <w:color w:val="000000"/>
                <w:spacing w:val="-3"/>
                <w:sz w:val="16"/>
                <w:szCs w:val="16"/>
                <w:lang w:eastAsia="id-ID"/>
              </w:rPr>
              <w:t>2015</w:t>
            </w:r>
          </w:p>
        </w:tc>
      </w:tr>
      <w:tr w:rsidR="000B04E2" w:rsidRPr="009A62B4" w14:paraId="60CB184A" w14:textId="77777777" w:rsidTr="008057DA">
        <w:trPr>
          <w:trHeight w:val="557"/>
        </w:trPr>
        <w:tc>
          <w:tcPr>
            <w:tcW w:w="875" w:type="dxa"/>
            <w:shd w:val="clear" w:color="auto" w:fill="auto"/>
            <w:vAlign w:val="center"/>
          </w:tcPr>
          <w:p w14:paraId="49BE6A5B" w14:textId="77777777" w:rsidR="002B1C45" w:rsidRPr="008057DA" w:rsidRDefault="002B1C45" w:rsidP="008057DA">
            <w:pPr>
              <w:widowControl w:val="0"/>
              <w:autoSpaceDE w:val="0"/>
              <w:autoSpaceDN w:val="0"/>
              <w:adjustRightInd w:val="0"/>
              <w:spacing w:line="360" w:lineRule="auto"/>
              <w:jc w:val="center"/>
              <w:rPr>
                <w:rFonts w:ascii="Arial" w:hAnsi="Arial" w:cs="Arial"/>
                <w:b/>
                <w:color w:val="000000"/>
                <w:spacing w:val="-3"/>
                <w:sz w:val="16"/>
                <w:szCs w:val="16"/>
                <w:lang w:eastAsia="id-ID"/>
              </w:rPr>
            </w:pPr>
            <w:r w:rsidRPr="008057DA">
              <w:rPr>
                <w:rFonts w:ascii="Arial" w:hAnsi="Arial" w:cs="Arial"/>
                <w:b/>
                <w:color w:val="000000"/>
                <w:spacing w:val="-3"/>
                <w:sz w:val="16"/>
                <w:szCs w:val="16"/>
                <w:lang w:eastAsia="id-ID"/>
              </w:rPr>
              <w:t>CAR</w:t>
            </w:r>
          </w:p>
        </w:tc>
        <w:tc>
          <w:tcPr>
            <w:tcW w:w="576" w:type="dxa"/>
            <w:shd w:val="clear" w:color="auto" w:fill="auto"/>
            <w:vAlign w:val="center"/>
          </w:tcPr>
          <w:p w14:paraId="29030485"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17,64</w:t>
            </w:r>
          </w:p>
        </w:tc>
        <w:tc>
          <w:tcPr>
            <w:tcW w:w="579" w:type="dxa"/>
            <w:shd w:val="clear" w:color="auto" w:fill="auto"/>
            <w:vAlign w:val="center"/>
          </w:tcPr>
          <w:p w14:paraId="73D12586"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15,26</w:t>
            </w:r>
          </w:p>
        </w:tc>
        <w:tc>
          <w:tcPr>
            <w:tcW w:w="576" w:type="dxa"/>
            <w:shd w:val="clear" w:color="auto" w:fill="auto"/>
            <w:vAlign w:val="center"/>
          </w:tcPr>
          <w:p w14:paraId="39998343"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17,43</w:t>
            </w:r>
          </w:p>
        </w:tc>
        <w:tc>
          <w:tcPr>
            <w:tcW w:w="620" w:type="dxa"/>
            <w:shd w:val="clear" w:color="auto" w:fill="auto"/>
            <w:vAlign w:val="center"/>
          </w:tcPr>
          <w:p w14:paraId="514D654D"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18,13</w:t>
            </w:r>
          </w:p>
        </w:tc>
        <w:tc>
          <w:tcPr>
            <w:tcW w:w="576" w:type="dxa"/>
            <w:shd w:val="clear" w:color="auto" w:fill="auto"/>
            <w:vAlign w:val="center"/>
          </w:tcPr>
          <w:p w14:paraId="21340B26"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19,57</w:t>
            </w:r>
          </w:p>
        </w:tc>
        <w:tc>
          <w:tcPr>
            <w:tcW w:w="617" w:type="dxa"/>
            <w:shd w:val="clear" w:color="auto" w:fill="auto"/>
            <w:vAlign w:val="center"/>
          </w:tcPr>
          <w:p w14:paraId="649C71EA"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21,39</w:t>
            </w:r>
          </w:p>
        </w:tc>
      </w:tr>
      <w:tr w:rsidR="000B04E2" w:rsidRPr="009A62B4" w14:paraId="35616A5C" w14:textId="77777777" w:rsidTr="008057DA">
        <w:trPr>
          <w:trHeight w:val="550"/>
        </w:trPr>
        <w:tc>
          <w:tcPr>
            <w:tcW w:w="875" w:type="dxa"/>
            <w:shd w:val="clear" w:color="auto" w:fill="auto"/>
            <w:vAlign w:val="center"/>
          </w:tcPr>
          <w:p w14:paraId="6A6FB981" w14:textId="77777777" w:rsidR="002B1C45" w:rsidRPr="008057DA" w:rsidRDefault="002B1C45" w:rsidP="008057DA">
            <w:pPr>
              <w:widowControl w:val="0"/>
              <w:autoSpaceDE w:val="0"/>
              <w:autoSpaceDN w:val="0"/>
              <w:adjustRightInd w:val="0"/>
              <w:spacing w:line="360" w:lineRule="auto"/>
              <w:jc w:val="center"/>
              <w:rPr>
                <w:rFonts w:ascii="Arial" w:hAnsi="Arial" w:cs="Arial"/>
                <w:b/>
                <w:color w:val="000000"/>
                <w:spacing w:val="-3"/>
                <w:sz w:val="16"/>
                <w:szCs w:val="16"/>
                <w:lang w:eastAsia="id-ID"/>
              </w:rPr>
            </w:pPr>
            <w:r w:rsidRPr="008057DA">
              <w:rPr>
                <w:rFonts w:ascii="Arial" w:hAnsi="Arial" w:cs="Arial"/>
                <w:b/>
                <w:color w:val="000000"/>
                <w:spacing w:val="-3"/>
                <w:sz w:val="16"/>
                <w:szCs w:val="16"/>
                <w:lang w:eastAsia="id-ID"/>
              </w:rPr>
              <w:t>LDR</w:t>
            </w:r>
          </w:p>
        </w:tc>
        <w:tc>
          <w:tcPr>
            <w:tcW w:w="576" w:type="dxa"/>
            <w:shd w:val="clear" w:color="auto" w:fill="auto"/>
            <w:vAlign w:val="center"/>
          </w:tcPr>
          <w:p w14:paraId="5B2C75E9"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76,60</w:t>
            </w:r>
          </w:p>
        </w:tc>
        <w:tc>
          <w:tcPr>
            <w:tcW w:w="579" w:type="dxa"/>
            <w:shd w:val="clear" w:color="auto" w:fill="auto"/>
            <w:vAlign w:val="center"/>
          </w:tcPr>
          <w:p w14:paraId="53B442A3"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78,63</w:t>
            </w:r>
          </w:p>
        </w:tc>
        <w:tc>
          <w:tcPr>
            <w:tcW w:w="576" w:type="dxa"/>
            <w:shd w:val="clear" w:color="auto" w:fill="auto"/>
            <w:vAlign w:val="center"/>
          </w:tcPr>
          <w:p w14:paraId="456D3CA2"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83,58</w:t>
            </w:r>
          </w:p>
        </w:tc>
        <w:tc>
          <w:tcPr>
            <w:tcW w:w="620" w:type="dxa"/>
            <w:shd w:val="clear" w:color="auto" w:fill="auto"/>
            <w:vAlign w:val="center"/>
          </w:tcPr>
          <w:p w14:paraId="0ABBEF64"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89,70</w:t>
            </w:r>
          </w:p>
        </w:tc>
        <w:tc>
          <w:tcPr>
            <w:tcW w:w="576" w:type="dxa"/>
            <w:shd w:val="clear" w:color="auto" w:fill="auto"/>
            <w:vAlign w:val="center"/>
          </w:tcPr>
          <w:p w14:paraId="66DB8F51"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89,42</w:t>
            </w:r>
          </w:p>
        </w:tc>
        <w:tc>
          <w:tcPr>
            <w:tcW w:w="617" w:type="dxa"/>
            <w:shd w:val="clear" w:color="auto" w:fill="auto"/>
            <w:vAlign w:val="center"/>
          </w:tcPr>
          <w:p w14:paraId="1015F4EA"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92,11</w:t>
            </w:r>
          </w:p>
        </w:tc>
      </w:tr>
      <w:tr w:rsidR="000B04E2" w:rsidRPr="009A62B4" w14:paraId="67B77B0E" w14:textId="77777777" w:rsidTr="008057DA">
        <w:trPr>
          <w:trHeight w:val="559"/>
        </w:trPr>
        <w:tc>
          <w:tcPr>
            <w:tcW w:w="875" w:type="dxa"/>
            <w:shd w:val="clear" w:color="auto" w:fill="auto"/>
            <w:vAlign w:val="center"/>
          </w:tcPr>
          <w:p w14:paraId="753A0B7C" w14:textId="77777777" w:rsidR="002B1C45" w:rsidRPr="008057DA" w:rsidRDefault="002B1C45" w:rsidP="008057DA">
            <w:pPr>
              <w:widowControl w:val="0"/>
              <w:autoSpaceDE w:val="0"/>
              <w:autoSpaceDN w:val="0"/>
              <w:adjustRightInd w:val="0"/>
              <w:spacing w:line="360" w:lineRule="auto"/>
              <w:jc w:val="center"/>
              <w:rPr>
                <w:rFonts w:ascii="Arial" w:hAnsi="Arial" w:cs="Arial"/>
                <w:b/>
                <w:color w:val="000000"/>
                <w:spacing w:val="-3"/>
                <w:sz w:val="16"/>
                <w:szCs w:val="16"/>
                <w:lang w:eastAsia="id-ID"/>
              </w:rPr>
            </w:pPr>
            <w:r w:rsidRPr="008057DA">
              <w:rPr>
                <w:rFonts w:ascii="Arial" w:hAnsi="Arial" w:cs="Arial"/>
                <w:b/>
                <w:color w:val="000000"/>
                <w:spacing w:val="-3"/>
                <w:sz w:val="16"/>
                <w:szCs w:val="16"/>
                <w:lang w:eastAsia="id-ID"/>
              </w:rPr>
              <w:t>NPL</w:t>
            </w:r>
          </w:p>
        </w:tc>
        <w:tc>
          <w:tcPr>
            <w:tcW w:w="576" w:type="dxa"/>
            <w:shd w:val="clear" w:color="auto" w:fill="auto"/>
            <w:vAlign w:val="center"/>
          </w:tcPr>
          <w:p w14:paraId="4ED77980"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1,58</w:t>
            </w:r>
          </w:p>
        </w:tc>
        <w:tc>
          <w:tcPr>
            <w:tcW w:w="579" w:type="dxa"/>
            <w:shd w:val="clear" w:color="auto" w:fill="auto"/>
            <w:vAlign w:val="center"/>
          </w:tcPr>
          <w:p w14:paraId="3B5CFB3E"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2,17</w:t>
            </w:r>
          </w:p>
        </w:tc>
        <w:tc>
          <w:tcPr>
            <w:tcW w:w="576" w:type="dxa"/>
            <w:shd w:val="clear" w:color="auto" w:fill="auto"/>
            <w:vAlign w:val="center"/>
          </w:tcPr>
          <w:p w14:paraId="791F47E5"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1,87</w:t>
            </w:r>
          </w:p>
        </w:tc>
        <w:tc>
          <w:tcPr>
            <w:tcW w:w="620" w:type="dxa"/>
            <w:shd w:val="clear" w:color="auto" w:fill="auto"/>
            <w:vAlign w:val="center"/>
          </w:tcPr>
          <w:p w14:paraId="40161C3F"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1,77</w:t>
            </w:r>
          </w:p>
        </w:tc>
        <w:tc>
          <w:tcPr>
            <w:tcW w:w="576" w:type="dxa"/>
            <w:shd w:val="clear" w:color="auto" w:fill="auto"/>
            <w:vAlign w:val="center"/>
          </w:tcPr>
          <w:p w14:paraId="2B4660B3"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2,16</w:t>
            </w:r>
          </w:p>
        </w:tc>
        <w:tc>
          <w:tcPr>
            <w:tcW w:w="617" w:type="dxa"/>
            <w:shd w:val="clear" w:color="auto" w:fill="auto"/>
            <w:vAlign w:val="center"/>
          </w:tcPr>
          <w:p w14:paraId="45F87544"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2,49</w:t>
            </w:r>
          </w:p>
        </w:tc>
      </w:tr>
      <w:tr w:rsidR="000B04E2" w:rsidRPr="009A62B4" w14:paraId="7200A398" w14:textId="77777777" w:rsidTr="008057DA">
        <w:trPr>
          <w:trHeight w:val="567"/>
        </w:trPr>
        <w:tc>
          <w:tcPr>
            <w:tcW w:w="875" w:type="dxa"/>
            <w:shd w:val="clear" w:color="auto" w:fill="auto"/>
            <w:vAlign w:val="center"/>
          </w:tcPr>
          <w:p w14:paraId="04F8C1A0" w14:textId="77777777" w:rsidR="002B1C45" w:rsidRPr="008057DA" w:rsidRDefault="002B1C45" w:rsidP="008057DA">
            <w:pPr>
              <w:widowControl w:val="0"/>
              <w:autoSpaceDE w:val="0"/>
              <w:autoSpaceDN w:val="0"/>
              <w:adjustRightInd w:val="0"/>
              <w:spacing w:line="360" w:lineRule="auto"/>
              <w:jc w:val="center"/>
              <w:rPr>
                <w:rFonts w:ascii="Arial" w:hAnsi="Arial" w:cs="Arial"/>
                <w:b/>
                <w:color w:val="000000"/>
                <w:spacing w:val="-3"/>
                <w:sz w:val="16"/>
                <w:szCs w:val="16"/>
                <w:lang w:eastAsia="id-ID"/>
              </w:rPr>
            </w:pPr>
            <w:r w:rsidRPr="008057DA">
              <w:rPr>
                <w:rFonts w:ascii="Arial" w:hAnsi="Arial" w:cs="Arial"/>
                <w:b/>
                <w:color w:val="000000"/>
                <w:spacing w:val="-3"/>
                <w:sz w:val="16"/>
                <w:szCs w:val="16"/>
                <w:lang w:eastAsia="id-ID"/>
              </w:rPr>
              <w:t>BOPO</w:t>
            </w:r>
          </w:p>
        </w:tc>
        <w:tc>
          <w:tcPr>
            <w:tcW w:w="576" w:type="dxa"/>
            <w:shd w:val="clear" w:color="auto" w:fill="auto"/>
            <w:vAlign w:val="center"/>
          </w:tcPr>
          <w:p w14:paraId="5628BC10"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84,43</w:t>
            </w:r>
          </w:p>
        </w:tc>
        <w:tc>
          <w:tcPr>
            <w:tcW w:w="579" w:type="dxa"/>
            <w:shd w:val="clear" w:color="auto" w:fill="auto"/>
            <w:vAlign w:val="center"/>
          </w:tcPr>
          <w:p w14:paraId="73C3A0B4"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81,81</w:t>
            </w:r>
          </w:p>
        </w:tc>
        <w:tc>
          <w:tcPr>
            <w:tcW w:w="576" w:type="dxa"/>
            <w:shd w:val="clear" w:color="auto" w:fill="auto"/>
            <w:vAlign w:val="center"/>
          </w:tcPr>
          <w:p w14:paraId="32F91300"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74,10</w:t>
            </w:r>
          </w:p>
        </w:tc>
        <w:tc>
          <w:tcPr>
            <w:tcW w:w="620" w:type="dxa"/>
            <w:shd w:val="clear" w:color="auto" w:fill="auto"/>
            <w:vAlign w:val="center"/>
          </w:tcPr>
          <w:p w14:paraId="185AB959"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74,08</w:t>
            </w:r>
          </w:p>
        </w:tc>
        <w:tc>
          <w:tcPr>
            <w:tcW w:w="576" w:type="dxa"/>
            <w:shd w:val="clear" w:color="auto" w:fill="auto"/>
            <w:vAlign w:val="center"/>
          </w:tcPr>
          <w:p w14:paraId="6B8556B5"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76,29</w:t>
            </w:r>
          </w:p>
        </w:tc>
        <w:tc>
          <w:tcPr>
            <w:tcW w:w="617" w:type="dxa"/>
            <w:shd w:val="clear" w:color="auto" w:fill="auto"/>
            <w:vAlign w:val="center"/>
          </w:tcPr>
          <w:p w14:paraId="755C539D"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81,49</w:t>
            </w:r>
          </w:p>
        </w:tc>
      </w:tr>
      <w:tr w:rsidR="000B04E2" w:rsidRPr="009A62B4" w14:paraId="6C4DC692" w14:textId="77777777" w:rsidTr="008057DA">
        <w:trPr>
          <w:trHeight w:val="566"/>
        </w:trPr>
        <w:tc>
          <w:tcPr>
            <w:tcW w:w="875" w:type="dxa"/>
            <w:shd w:val="clear" w:color="auto" w:fill="auto"/>
            <w:vAlign w:val="center"/>
          </w:tcPr>
          <w:p w14:paraId="1D90FE46" w14:textId="77777777" w:rsidR="002B1C45" w:rsidRPr="008057DA" w:rsidRDefault="002B1C45" w:rsidP="008057DA">
            <w:pPr>
              <w:widowControl w:val="0"/>
              <w:autoSpaceDE w:val="0"/>
              <w:autoSpaceDN w:val="0"/>
              <w:adjustRightInd w:val="0"/>
              <w:spacing w:line="360" w:lineRule="auto"/>
              <w:jc w:val="center"/>
              <w:rPr>
                <w:rFonts w:ascii="Arial" w:hAnsi="Arial" w:cs="Arial"/>
                <w:b/>
                <w:color w:val="000000"/>
                <w:spacing w:val="-3"/>
                <w:sz w:val="16"/>
                <w:szCs w:val="16"/>
                <w:lang w:eastAsia="id-ID"/>
              </w:rPr>
            </w:pPr>
            <w:r w:rsidRPr="008057DA">
              <w:rPr>
                <w:rFonts w:ascii="Arial" w:hAnsi="Arial" w:cs="Arial"/>
                <w:b/>
                <w:color w:val="000000"/>
                <w:spacing w:val="-3"/>
                <w:sz w:val="16"/>
                <w:szCs w:val="16"/>
                <w:lang w:eastAsia="id-ID"/>
              </w:rPr>
              <w:t>Δ DPK</w:t>
            </w:r>
          </w:p>
        </w:tc>
        <w:tc>
          <w:tcPr>
            <w:tcW w:w="576" w:type="dxa"/>
            <w:shd w:val="clear" w:color="auto" w:fill="auto"/>
            <w:vAlign w:val="center"/>
          </w:tcPr>
          <w:p w14:paraId="5E77873D"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19,10</w:t>
            </w:r>
          </w:p>
        </w:tc>
        <w:tc>
          <w:tcPr>
            <w:tcW w:w="579" w:type="dxa"/>
            <w:shd w:val="clear" w:color="auto" w:fill="auto"/>
            <w:vAlign w:val="center"/>
          </w:tcPr>
          <w:p w14:paraId="2A8C17C3"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15,80</w:t>
            </w:r>
          </w:p>
        </w:tc>
        <w:tc>
          <w:tcPr>
            <w:tcW w:w="576" w:type="dxa"/>
            <w:shd w:val="clear" w:color="auto" w:fill="auto"/>
            <w:vAlign w:val="center"/>
          </w:tcPr>
          <w:p w14:paraId="5B785D31"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13,60</w:t>
            </w:r>
          </w:p>
        </w:tc>
        <w:tc>
          <w:tcPr>
            <w:tcW w:w="620" w:type="dxa"/>
            <w:shd w:val="clear" w:color="auto" w:fill="auto"/>
            <w:vAlign w:val="center"/>
          </w:tcPr>
          <w:p w14:paraId="339C1A56"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rPr>
              <w:t>12,29</w:t>
            </w:r>
          </w:p>
        </w:tc>
        <w:tc>
          <w:tcPr>
            <w:tcW w:w="576" w:type="dxa"/>
            <w:shd w:val="clear" w:color="auto" w:fill="auto"/>
            <w:vAlign w:val="center"/>
          </w:tcPr>
          <w:p w14:paraId="06AB208D"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7,25</w:t>
            </w:r>
          </w:p>
        </w:tc>
        <w:tc>
          <w:tcPr>
            <w:tcW w:w="617" w:type="dxa"/>
            <w:shd w:val="clear" w:color="auto" w:fill="auto"/>
            <w:vAlign w:val="center"/>
          </w:tcPr>
          <w:p w14:paraId="6E0C6363"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7,62</w:t>
            </w:r>
          </w:p>
        </w:tc>
      </w:tr>
      <w:tr w:rsidR="000B04E2" w:rsidRPr="009A62B4" w14:paraId="67A3C63E" w14:textId="77777777" w:rsidTr="008057DA">
        <w:trPr>
          <w:trHeight w:val="540"/>
        </w:trPr>
        <w:tc>
          <w:tcPr>
            <w:tcW w:w="875" w:type="dxa"/>
            <w:shd w:val="clear" w:color="auto" w:fill="auto"/>
            <w:vAlign w:val="center"/>
          </w:tcPr>
          <w:p w14:paraId="7EC7C7BF" w14:textId="77777777" w:rsidR="002B1C45" w:rsidRPr="008057DA" w:rsidRDefault="002B1C45" w:rsidP="008057DA">
            <w:pPr>
              <w:widowControl w:val="0"/>
              <w:autoSpaceDE w:val="0"/>
              <w:autoSpaceDN w:val="0"/>
              <w:adjustRightInd w:val="0"/>
              <w:spacing w:line="360" w:lineRule="auto"/>
              <w:jc w:val="center"/>
              <w:rPr>
                <w:rFonts w:ascii="Arial" w:hAnsi="Arial" w:cs="Arial"/>
                <w:b/>
                <w:color w:val="000000"/>
                <w:spacing w:val="-3"/>
                <w:sz w:val="16"/>
                <w:szCs w:val="16"/>
                <w:lang w:eastAsia="id-ID"/>
              </w:rPr>
            </w:pPr>
            <w:r w:rsidRPr="008057DA">
              <w:rPr>
                <w:rFonts w:ascii="Arial" w:hAnsi="Arial" w:cs="Arial"/>
                <w:b/>
                <w:color w:val="000000"/>
                <w:spacing w:val="-3"/>
                <w:sz w:val="16"/>
                <w:szCs w:val="16"/>
                <w:lang w:eastAsia="id-ID"/>
              </w:rPr>
              <w:t>ROA</w:t>
            </w:r>
          </w:p>
        </w:tc>
        <w:tc>
          <w:tcPr>
            <w:tcW w:w="576" w:type="dxa"/>
            <w:shd w:val="clear" w:color="auto" w:fill="auto"/>
            <w:vAlign w:val="center"/>
          </w:tcPr>
          <w:p w14:paraId="5146DC34"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1,45</w:t>
            </w:r>
          </w:p>
        </w:tc>
        <w:tc>
          <w:tcPr>
            <w:tcW w:w="579" w:type="dxa"/>
            <w:shd w:val="clear" w:color="auto" w:fill="auto"/>
            <w:vAlign w:val="center"/>
          </w:tcPr>
          <w:p w14:paraId="267A8D6F"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2,01</w:t>
            </w:r>
          </w:p>
        </w:tc>
        <w:tc>
          <w:tcPr>
            <w:tcW w:w="576" w:type="dxa"/>
            <w:shd w:val="clear" w:color="auto" w:fill="auto"/>
            <w:vAlign w:val="center"/>
          </w:tcPr>
          <w:p w14:paraId="4690AD4C"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3,11</w:t>
            </w:r>
          </w:p>
        </w:tc>
        <w:tc>
          <w:tcPr>
            <w:tcW w:w="620" w:type="dxa"/>
            <w:shd w:val="clear" w:color="auto" w:fill="auto"/>
            <w:vAlign w:val="center"/>
          </w:tcPr>
          <w:p w14:paraId="37550B82" w14:textId="77777777" w:rsidR="002B1C45" w:rsidRPr="008057DA" w:rsidRDefault="002B1C45" w:rsidP="008057DA">
            <w:pPr>
              <w:pStyle w:val="Default"/>
              <w:spacing w:line="360" w:lineRule="auto"/>
              <w:jc w:val="center"/>
              <w:rPr>
                <w:rFonts w:ascii="Times New Roman" w:hAnsi="Times New Roman" w:cs="Times New Roman"/>
                <w:sz w:val="16"/>
                <w:szCs w:val="16"/>
              </w:rPr>
            </w:pPr>
            <w:r w:rsidRPr="008057DA">
              <w:rPr>
                <w:rFonts w:ascii="Times New Roman" w:hAnsi="Times New Roman" w:cs="Times New Roman"/>
                <w:sz w:val="16"/>
                <w:szCs w:val="16"/>
              </w:rPr>
              <w:t>3,08</w:t>
            </w:r>
          </w:p>
        </w:tc>
        <w:tc>
          <w:tcPr>
            <w:tcW w:w="576" w:type="dxa"/>
            <w:shd w:val="clear" w:color="auto" w:fill="auto"/>
            <w:vAlign w:val="center"/>
          </w:tcPr>
          <w:p w14:paraId="54A75E54"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2,85</w:t>
            </w:r>
          </w:p>
        </w:tc>
        <w:tc>
          <w:tcPr>
            <w:tcW w:w="617" w:type="dxa"/>
            <w:shd w:val="clear" w:color="auto" w:fill="auto"/>
            <w:vAlign w:val="center"/>
          </w:tcPr>
          <w:p w14:paraId="33DAB022" w14:textId="77777777" w:rsidR="002B1C45" w:rsidRPr="008057DA" w:rsidRDefault="002B1C45" w:rsidP="008057DA">
            <w:pPr>
              <w:pStyle w:val="Default"/>
              <w:spacing w:line="360" w:lineRule="auto"/>
              <w:jc w:val="center"/>
              <w:rPr>
                <w:rFonts w:ascii="Times New Roman" w:hAnsi="Times New Roman" w:cs="Times New Roman"/>
                <w:sz w:val="16"/>
                <w:szCs w:val="16"/>
                <w:lang w:val="id-ID"/>
              </w:rPr>
            </w:pPr>
            <w:r w:rsidRPr="008057DA">
              <w:rPr>
                <w:rFonts w:ascii="Times New Roman" w:hAnsi="Times New Roman" w:cs="Times New Roman"/>
                <w:sz w:val="16"/>
                <w:szCs w:val="16"/>
                <w:lang w:val="id-ID"/>
              </w:rPr>
              <w:t>2,32</w:t>
            </w:r>
          </w:p>
        </w:tc>
      </w:tr>
      <w:tr w:rsidR="000B04E2" w:rsidRPr="009A62B4" w14:paraId="63E9F48A" w14:textId="77777777" w:rsidTr="008057DA">
        <w:trPr>
          <w:trHeight w:val="548"/>
        </w:trPr>
        <w:tc>
          <w:tcPr>
            <w:tcW w:w="875" w:type="dxa"/>
            <w:shd w:val="clear" w:color="auto" w:fill="auto"/>
            <w:vAlign w:val="center"/>
          </w:tcPr>
          <w:p w14:paraId="10F913B7" w14:textId="77777777" w:rsidR="002B1C45" w:rsidRPr="008057DA" w:rsidRDefault="002B1C45" w:rsidP="008057DA">
            <w:pPr>
              <w:widowControl w:val="0"/>
              <w:autoSpaceDE w:val="0"/>
              <w:autoSpaceDN w:val="0"/>
              <w:adjustRightInd w:val="0"/>
              <w:spacing w:line="360" w:lineRule="auto"/>
              <w:jc w:val="center"/>
              <w:rPr>
                <w:rFonts w:ascii="Arial" w:hAnsi="Arial" w:cs="Arial"/>
                <w:b/>
                <w:color w:val="000000"/>
                <w:spacing w:val="-3"/>
                <w:sz w:val="18"/>
                <w:szCs w:val="18"/>
                <w:lang w:eastAsia="id-ID"/>
              </w:rPr>
            </w:pPr>
            <w:r w:rsidRPr="008057DA">
              <w:rPr>
                <w:rFonts w:ascii="Arial" w:hAnsi="Arial" w:cs="Arial"/>
                <w:b/>
                <w:color w:val="000000"/>
                <w:spacing w:val="-3"/>
                <w:sz w:val="18"/>
                <w:szCs w:val="18"/>
                <w:lang w:eastAsia="id-ID"/>
              </w:rPr>
              <w:t>Tobin’Q</w:t>
            </w:r>
          </w:p>
        </w:tc>
        <w:tc>
          <w:tcPr>
            <w:tcW w:w="576" w:type="dxa"/>
            <w:shd w:val="clear" w:color="auto" w:fill="auto"/>
            <w:vAlign w:val="center"/>
          </w:tcPr>
          <w:p w14:paraId="3E760921" w14:textId="77777777" w:rsidR="002B1C45" w:rsidRPr="008057DA" w:rsidRDefault="002B1C45" w:rsidP="008057DA">
            <w:pPr>
              <w:pStyle w:val="Default"/>
              <w:spacing w:line="360" w:lineRule="auto"/>
              <w:jc w:val="center"/>
              <w:rPr>
                <w:rFonts w:ascii="Agency FB" w:hAnsi="Agency FB" w:cs="Times New Roman"/>
                <w:sz w:val="20"/>
                <w:szCs w:val="20"/>
              </w:rPr>
            </w:pPr>
            <w:r w:rsidRPr="008057DA">
              <w:rPr>
                <w:rFonts w:ascii="Agency FB" w:hAnsi="Agency FB" w:cs="Times New Roman"/>
                <w:sz w:val="20"/>
                <w:szCs w:val="20"/>
              </w:rPr>
              <w:t>1,1919</w:t>
            </w:r>
          </w:p>
        </w:tc>
        <w:tc>
          <w:tcPr>
            <w:tcW w:w="579" w:type="dxa"/>
            <w:shd w:val="clear" w:color="auto" w:fill="auto"/>
            <w:vAlign w:val="center"/>
          </w:tcPr>
          <w:p w14:paraId="514912ED" w14:textId="77777777" w:rsidR="002B1C45" w:rsidRPr="008057DA" w:rsidRDefault="002B1C45" w:rsidP="008057DA">
            <w:pPr>
              <w:pStyle w:val="Default"/>
              <w:spacing w:line="360" w:lineRule="auto"/>
              <w:jc w:val="center"/>
              <w:rPr>
                <w:rFonts w:ascii="Agency FB" w:hAnsi="Agency FB" w:cs="Times New Roman"/>
                <w:sz w:val="20"/>
                <w:szCs w:val="20"/>
              </w:rPr>
            </w:pPr>
            <w:r w:rsidRPr="008057DA">
              <w:rPr>
                <w:rFonts w:ascii="Agency FB" w:hAnsi="Agency FB" w:cs="Times New Roman"/>
                <w:sz w:val="20"/>
                <w:szCs w:val="20"/>
              </w:rPr>
              <w:t>1,1409</w:t>
            </w:r>
          </w:p>
        </w:tc>
        <w:tc>
          <w:tcPr>
            <w:tcW w:w="576" w:type="dxa"/>
            <w:shd w:val="clear" w:color="auto" w:fill="auto"/>
            <w:vAlign w:val="center"/>
          </w:tcPr>
          <w:p w14:paraId="7B67E310" w14:textId="77777777" w:rsidR="002B1C45" w:rsidRPr="008057DA" w:rsidRDefault="002B1C45" w:rsidP="008057DA">
            <w:pPr>
              <w:pStyle w:val="Default"/>
              <w:spacing w:line="360" w:lineRule="auto"/>
              <w:jc w:val="center"/>
              <w:rPr>
                <w:rFonts w:ascii="Agency FB" w:hAnsi="Agency FB" w:cs="Times New Roman"/>
                <w:sz w:val="20"/>
                <w:szCs w:val="20"/>
              </w:rPr>
            </w:pPr>
            <w:r w:rsidRPr="008057DA">
              <w:rPr>
                <w:rFonts w:ascii="Agency FB" w:hAnsi="Agency FB" w:cs="Times New Roman"/>
                <w:sz w:val="20"/>
                <w:szCs w:val="20"/>
              </w:rPr>
              <w:t>1,1322</w:t>
            </w:r>
          </w:p>
        </w:tc>
        <w:tc>
          <w:tcPr>
            <w:tcW w:w="620" w:type="dxa"/>
            <w:shd w:val="clear" w:color="auto" w:fill="auto"/>
            <w:vAlign w:val="center"/>
          </w:tcPr>
          <w:p w14:paraId="5B7EDC44" w14:textId="77777777" w:rsidR="002B1C45" w:rsidRPr="008057DA" w:rsidRDefault="002B1C45" w:rsidP="008057DA">
            <w:pPr>
              <w:pStyle w:val="Default"/>
              <w:spacing w:line="360" w:lineRule="auto"/>
              <w:jc w:val="center"/>
              <w:rPr>
                <w:rFonts w:ascii="Agency FB" w:hAnsi="Agency FB" w:cs="Times New Roman"/>
                <w:sz w:val="20"/>
                <w:szCs w:val="20"/>
              </w:rPr>
            </w:pPr>
            <w:r w:rsidRPr="008057DA">
              <w:rPr>
                <w:rFonts w:ascii="Agency FB" w:hAnsi="Agency FB" w:cs="Times New Roman"/>
                <w:sz w:val="20"/>
                <w:szCs w:val="20"/>
              </w:rPr>
              <w:t>1,0873</w:t>
            </w:r>
          </w:p>
        </w:tc>
        <w:tc>
          <w:tcPr>
            <w:tcW w:w="576" w:type="dxa"/>
            <w:shd w:val="clear" w:color="auto" w:fill="auto"/>
            <w:vAlign w:val="center"/>
          </w:tcPr>
          <w:p w14:paraId="2CD4F57F" w14:textId="77777777" w:rsidR="002B1C45" w:rsidRPr="008057DA" w:rsidRDefault="002B1C45" w:rsidP="008057DA">
            <w:pPr>
              <w:pStyle w:val="Default"/>
              <w:spacing w:line="360" w:lineRule="auto"/>
              <w:jc w:val="center"/>
              <w:rPr>
                <w:rFonts w:ascii="Agency FB" w:hAnsi="Agency FB" w:cs="Times New Roman"/>
                <w:sz w:val="20"/>
                <w:szCs w:val="20"/>
                <w:lang w:val="en-US"/>
              </w:rPr>
            </w:pPr>
            <w:r w:rsidRPr="008057DA">
              <w:rPr>
                <w:rFonts w:ascii="Agency FB" w:hAnsi="Agency FB" w:cs="Times New Roman"/>
                <w:sz w:val="20"/>
                <w:szCs w:val="20"/>
              </w:rPr>
              <w:t>1,1311</w:t>
            </w:r>
          </w:p>
        </w:tc>
        <w:tc>
          <w:tcPr>
            <w:tcW w:w="617" w:type="dxa"/>
            <w:shd w:val="clear" w:color="auto" w:fill="auto"/>
            <w:vAlign w:val="center"/>
          </w:tcPr>
          <w:p w14:paraId="00DAC5FC" w14:textId="77777777" w:rsidR="002B1C45" w:rsidRPr="008057DA" w:rsidRDefault="002B1C45" w:rsidP="008057DA">
            <w:pPr>
              <w:pStyle w:val="Default"/>
              <w:spacing w:line="360" w:lineRule="auto"/>
              <w:jc w:val="center"/>
              <w:rPr>
                <w:rFonts w:ascii="Agency FB" w:hAnsi="Agency FB" w:cs="Times New Roman"/>
                <w:sz w:val="20"/>
                <w:szCs w:val="20"/>
                <w:lang w:val="id-ID"/>
              </w:rPr>
            </w:pPr>
            <w:r w:rsidRPr="008057DA">
              <w:rPr>
                <w:rFonts w:ascii="Agency FB" w:hAnsi="Agency FB" w:cs="Times New Roman"/>
                <w:sz w:val="20"/>
                <w:szCs w:val="20"/>
              </w:rPr>
              <w:t>1,0975</w:t>
            </w:r>
          </w:p>
        </w:tc>
      </w:tr>
    </w:tbl>
    <w:p w14:paraId="2157417B" w14:textId="77777777" w:rsidR="001F5D6A" w:rsidRDefault="001F5D6A" w:rsidP="009F3648"/>
    <w:p w14:paraId="2B77C77A" w14:textId="77777777" w:rsidR="001F5D6A" w:rsidRDefault="001F5D6A" w:rsidP="009F3648"/>
    <w:p w14:paraId="2D2C6B36" w14:textId="77777777" w:rsidR="001F5D6A" w:rsidRDefault="001F5D6A" w:rsidP="009F3648"/>
    <w:p w14:paraId="5CCF2066" w14:textId="77777777" w:rsidR="00A40E33" w:rsidRDefault="00A40E33" w:rsidP="009F3648"/>
    <w:p w14:paraId="111AD1E2" w14:textId="77777777" w:rsidR="00A40E33" w:rsidRDefault="00A40E33" w:rsidP="009F3648"/>
    <w:p w14:paraId="4CF282FF" w14:textId="77777777" w:rsidR="00A40E33" w:rsidRDefault="00A40E33" w:rsidP="009F3648"/>
    <w:p w14:paraId="0E985DD0" w14:textId="77777777" w:rsidR="00A40E33" w:rsidRDefault="00A40E33" w:rsidP="009F3648"/>
    <w:p w14:paraId="06539AA1" w14:textId="77777777" w:rsidR="00A40E33" w:rsidRDefault="00A40E33" w:rsidP="009F3648"/>
    <w:p w14:paraId="505FD074" w14:textId="77777777" w:rsidR="00A40E33" w:rsidRDefault="00A40E33" w:rsidP="009F3648"/>
    <w:p w14:paraId="06CCD44D" w14:textId="77777777" w:rsidR="00A40E33" w:rsidRDefault="00A40E33" w:rsidP="009F3648"/>
    <w:p w14:paraId="7AF93F7F" w14:textId="77777777" w:rsidR="00A40E33" w:rsidRDefault="00A40E33" w:rsidP="009F3648"/>
    <w:p w14:paraId="4705EDD0" w14:textId="77777777" w:rsidR="00A40E33" w:rsidRDefault="00A40E33" w:rsidP="009F3648"/>
    <w:p w14:paraId="49811602" w14:textId="77777777" w:rsidR="00A40E33" w:rsidRDefault="00A40E33" w:rsidP="009F3648"/>
    <w:p w14:paraId="78363592" w14:textId="77777777" w:rsidR="00A40E33" w:rsidRDefault="00A40E33" w:rsidP="009F3648"/>
    <w:p w14:paraId="52B222FD" w14:textId="77777777" w:rsidR="00A40E33" w:rsidRDefault="00A40E33" w:rsidP="009F3648"/>
    <w:p w14:paraId="16F534FB" w14:textId="77777777" w:rsidR="00A40E33" w:rsidRDefault="00A40E33" w:rsidP="009F3648"/>
    <w:p w14:paraId="57FE3854" w14:textId="77777777" w:rsidR="00A40E33" w:rsidRDefault="00A40E33" w:rsidP="009F3648"/>
    <w:p w14:paraId="4EC3E2BB" w14:textId="77777777" w:rsidR="00A40E33" w:rsidRDefault="00A40E33" w:rsidP="009F3648"/>
    <w:p w14:paraId="1C19D2EE" w14:textId="77777777" w:rsidR="009F3648" w:rsidRDefault="00B1047A" w:rsidP="009F3648">
      <w:pPr>
        <w:rPr>
          <w:lang w:val="id-ID"/>
        </w:rPr>
      </w:pPr>
      <w:r w:rsidRPr="00B1047A">
        <w:t>Source: Secondary Data Processed, 2015</w:t>
      </w:r>
    </w:p>
    <w:p w14:paraId="25BDC5E9" w14:textId="77777777" w:rsidR="009F3648" w:rsidRDefault="009F3648" w:rsidP="009F3648">
      <w:pPr>
        <w:rPr>
          <w:lang w:val="id-ID"/>
        </w:rPr>
      </w:pPr>
    </w:p>
    <w:p w14:paraId="7C5E4020" w14:textId="77777777" w:rsidR="009F3648" w:rsidRDefault="00DA54A2" w:rsidP="009F3648">
      <w:pPr>
        <w:rPr>
          <w:color w:val="000000"/>
          <w:spacing w:val="-1"/>
          <w:lang w:val="id-ID"/>
        </w:rPr>
      </w:pPr>
      <w:r w:rsidRPr="00DA54A2">
        <w:rPr>
          <w:lang w:val="id-ID"/>
        </w:rPr>
        <w:t xml:space="preserve">From the background of the above research, shows the existence of the gap phenomenon </w:t>
      </w:r>
      <w:r w:rsidR="002D21E8">
        <w:rPr>
          <w:lang w:val="id-ID"/>
        </w:rPr>
        <w:t>that is the difference between</w:t>
      </w:r>
      <w:r w:rsidRPr="00DA54A2">
        <w:rPr>
          <w:lang w:val="id-ID"/>
        </w:rPr>
        <w:t xml:space="preserve"> financial data development with the existing theory so that the authors to conduct further research on the determinant of banking profitability (ROA) with implication to the value of the company (Tobin's Q).</w:t>
      </w:r>
      <w:r w:rsidR="00A015A9">
        <w:rPr>
          <w:color w:val="000000"/>
          <w:spacing w:val="-1"/>
        </w:rPr>
        <w:t xml:space="preserve">    </w:t>
      </w:r>
    </w:p>
    <w:p w14:paraId="46CF0C94" w14:textId="77777777" w:rsidR="009F3648" w:rsidRDefault="009F3648" w:rsidP="009F3648">
      <w:pPr>
        <w:rPr>
          <w:color w:val="000000"/>
          <w:spacing w:val="-1"/>
          <w:lang w:val="id-ID"/>
        </w:rPr>
      </w:pPr>
    </w:p>
    <w:p w14:paraId="10225479" w14:textId="77777777" w:rsidR="009F3648" w:rsidRDefault="00DA54A2" w:rsidP="009F3648">
      <w:pPr>
        <w:jc w:val="both"/>
        <w:rPr>
          <w:lang w:val="id-ID"/>
        </w:rPr>
      </w:pPr>
      <w:r w:rsidRPr="00DA54A2">
        <w:rPr>
          <w:color w:val="000000"/>
          <w:spacing w:val="-1"/>
        </w:rPr>
        <w:t>Based on the gap phenomenon as shown in table 1., and the research gap which has been described previously, the research problem in this research can be formulated that there is still inconsistency between empirical phenomenon with existing theory and inconsistency of research result of influence of firm growth variable (firm growth) Capital Adequacy Ratio (CAR), Non Performing Loan (NPL), Loan (LDR), and Operational and Operating Income (BOPO), DPK (DG) to Profitability (ROA) growth and its implications for Tobin's Q.</w:t>
      </w:r>
      <w:r w:rsidR="00A015A9">
        <w:t xml:space="preserve">     </w:t>
      </w:r>
    </w:p>
    <w:p w14:paraId="100F5D1C" w14:textId="77777777" w:rsidR="009F3648" w:rsidRDefault="009F3648" w:rsidP="009F3648">
      <w:pPr>
        <w:jc w:val="both"/>
        <w:rPr>
          <w:lang w:val="id-ID"/>
        </w:rPr>
      </w:pPr>
    </w:p>
    <w:p w14:paraId="3873A2A9" w14:textId="77777777" w:rsidR="009F3648" w:rsidRDefault="00DA54A2" w:rsidP="009F3648">
      <w:pPr>
        <w:jc w:val="both"/>
        <w:rPr>
          <w:lang w:val="id-ID"/>
        </w:rPr>
      </w:pPr>
      <w:r>
        <w:t>Based on the previous description then there are 15 problem formulas that link between profitability and corporate value and the determinant of both namely; Company Growth (FG), CAR, NPL, LDR, BOPO and growth of DPK</w:t>
      </w:r>
      <w:r w:rsidR="0038207A">
        <w:t xml:space="preserve"> (DG). The research questions o</w:t>
      </w:r>
      <w:r w:rsidR="0038207A">
        <w:rPr>
          <w:lang w:val="id-ID"/>
        </w:rPr>
        <w:t>n</w:t>
      </w:r>
      <w:r>
        <w:t xml:space="preserve"> this r</w:t>
      </w:r>
      <w:r w:rsidR="0038207A">
        <w:t>esearch are as follows: 1) Be</w:t>
      </w:r>
      <w:r>
        <w:t xml:space="preserve"> the growth of company (FG), CAR, LDR, BOPO and growth of DPK (DG) partially have an effe</w:t>
      </w:r>
      <w:r w:rsidR="0038207A">
        <w:t>ct on profitability (ROA). 2) Be</w:t>
      </w:r>
      <w:r>
        <w:t xml:space="preserve"> the growth of company (FG), CAR, LDR, BOPO and growth of DPK (DG) together affects profitability (ROA). 3</w:t>
      </w:r>
      <w:r w:rsidR="0038207A">
        <w:t>) Be</w:t>
      </w:r>
      <w:r>
        <w:t xml:space="preserve"> the growth of company (FG), CAR, LDR, BOPO, growth of DPK (DG) and profitability (ROA) partially influence</w:t>
      </w:r>
      <w:r w:rsidR="0038207A">
        <w:t xml:space="preserve"> to company value (TOBIN). 4) Be</w:t>
      </w:r>
      <w:r>
        <w:t xml:space="preserve"> the growth of the company (FG), CAR, LDR, BOPO, growth of DPK (DG) and profitability (ROA) jointly affect t</w:t>
      </w:r>
      <w:r w:rsidR="009F3648">
        <w:t>he company value (TOBIN)</w:t>
      </w:r>
      <w:r w:rsidR="009F3648">
        <w:rPr>
          <w:lang w:val="id-ID"/>
        </w:rPr>
        <w:t>.</w:t>
      </w:r>
    </w:p>
    <w:p w14:paraId="4733FCAB" w14:textId="77777777" w:rsidR="009F3648" w:rsidRDefault="009F3648" w:rsidP="009F3648">
      <w:pPr>
        <w:jc w:val="both"/>
        <w:rPr>
          <w:lang w:val="id-ID"/>
        </w:rPr>
      </w:pPr>
    </w:p>
    <w:p w14:paraId="30710CB4" w14:textId="77777777" w:rsidR="00517DB8" w:rsidRPr="009F3648" w:rsidRDefault="00DA54A2" w:rsidP="009F3648">
      <w:pPr>
        <w:jc w:val="both"/>
        <w:rPr>
          <w:lang w:val="id-ID"/>
        </w:rPr>
      </w:pPr>
      <w:r>
        <w:t xml:space="preserve"> There are several objectives in this research: 1) To estimate and partially analyze the effect of company growth (FG), CAR, LDR, BOPO and DPK (DG) growth on profitability (ROA) in national banks listed on IDX during 2010 -2015. 2) To estimate and analyze the influence of company growth </w:t>
      </w:r>
      <w:r>
        <w:lastRenderedPageBreak/>
        <w:t>(FG), CAR, LDR, BOPO and DPK (DG) growth simultaneously on profitability (ROA) in national banks listed on IDX during 2010-2015 period. 3) To estimate and analyze the effect of partial growth of company (FG), CAR, LDR, BOPO, growth of DPK (DG) and profitability (ROA) to company value (TOBIN) on national banks listed on IDX during 2010-2015 period. 4) To estimate and analyze the influence of company growth (FG), CAR, LDR, BOPO, growth of DPK (DG) and profitability (ROA) together to the value of the company (TOBIN) in the national banks listed on the BEI during 2010- 2015.</w:t>
      </w:r>
    </w:p>
    <w:p w14:paraId="7C013465" w14:textId="77777777" w:rsidR="00DA54A2" w:rsidRDefault="00DA54A2" w:rsidP="00DA54A2">
      <w:pPr>
        <w:ind w:firstLine="720"/>
        <w:jc w:val="both"/>
        <w:rPr>
          <w:lang w:val="id-ID"/>
        </w:rPr>
      </w:pPr>
    </w:p>
    <w:p w14:paraId="5544132E" w14:textId="77777777" w:rsidR="00517DB8" w:rsidRDefault="009F3648" w:rsidP="00067C4D">
      <w:pPr>
        <w:numPr>
          <w:ilvl w:val="0"/>
          <w:numId w:val="39"/>
        </w:numPr>
        <w:ind w:left="284" w:hanging="284"/>
        <w:jc w:val="center"/>
        <w:rPr>
          <w:b/>
          <w:color w:val="E36C0A"/>
          <w:lang w:val="id-ID"/>
        </w:rPr>
      </w:pPr>
      <w:r>
        <w:rPr>
          <w:b/>
          <w:color w:val="E36C0A"/>
          <w:lang w:val="id-ID"/>
        </w:rPr>
        <w:t xml:space="preserve">LITERATURE </w:t>
      </w:r>
      <w:r w:rsidR="00DA54A2" w:rsidRPr="009F3648">
        <w:rPr>
          <w:b/>
          <w:color w:val="E36C0A"/>
          <w:lang w:val="id-ID"/>
        </w:rPr>
        <w:t xml:space="preserve"> REVIEW</w:t>
      </w:r>
    </w:p>
    <w:p w14:paraId="2FA0BBBB" w14:textId="77777777" w:rsidR="009F3648" w:rsidRPr="009F3648" w:rsidRDefault="009F3648" w:rsidP="009F3648">
      <w:pPr>
        <w:ind w:left="284"/>
        <w:jc w:val="both"/>
        <w:rPr>
          <w:b/>
          <w:color w:val="E36C0A"/>
          <w:lang w:val="id-ID"/>
        </w:rPr>
      </w:pPr>
    </w:p>
    <w:p w14:paraId="444EBD9D" w14:textId="77777777" w:rsidR="009F3648" w:rsidRPr="009F3648" w:rsidRDefault="00497E95" w:rsidP="009F3648">
      <w:pPr>
        <w:pStyle w:val="ListParagraph"/>
        <w:numPr>
          <w:ilvl w:val="0"/>
          <w:numId w:val="3"/>
        </w:numPr>
        <w:ind w:left="360"/>
        <w:jc w:val="both"/>
        <w:rPr>
          <w:b/>
          <w:color w:val="E36C0A"/>
          <w:lang w:val="id-ID"/>
        </w:rPr>
      </w:pPr>
      <w:r w:rsidRPr="009F3648">
        <w:rPr>
          <w:b/>
          <w:color w:val="E36C0A"/>
          <w:lang w:val="id-ID"/>
        </w:rPr>
        <w:t>Value of The Firm</w:t>
      </w:r>
    </w:p>
    <w:p w14:paraId="1BCD1138" w14:textId="77777777" w:rsidR="00497E95" w:rsidRPr="009F3648" w:rsidRDefault="00DA54A2" w:rsidP="009F3648">
      <w:pPr>
        <w:pStyle w:val="ListParagraph"/>
        <w:ind w:left="0"/>
        <w:jc w:val="both"/>
        <w:rPr>
          <w:b/>
          <w:color w:val="E36C0A"/>
          <w:lang w:val="id-ID"/>
        </w:rPr>
      </w:pPr>
      <w:r w:rsidRPr="009F3648">
        <w:rPr>
          <w:lang w:val="id-ID"/>
        </w:rPr>
        <w:t>Tobin's Q ratio was first proposed by Tobin in 1969. Siallagan and Machfoedz (2006: 38) mentioned Tobin's Q is one of the alternatives used in determining corporate value because it shows curre</w:t>
      </w:r>
      <w:r w:rsidR="0038207A" w:rsidRPr="009F3648">
        <w:rPr>
          <w:lang w:val="id-ID"/>
        </w:rPr>
        <w:t>nt financial market estimates at</w:t>
      </w:r>
      <w:r w:rsidRPr="009F3648">
        <w:rPr>
          <w:lang w:val="id-ID"/>
        </w:rPr>
        <w:t xml:space="preserve"> the return value of each dollar of incremental investment, Where</w:t>
      </w:r>
      <w:r w:rsidR="00497E95" w:rsidRPr="009F3648">
        <w:rPr>
          <w:lang w:val="id-ID"/>
        </w:rPr>
        <w:t xml:space="preserve"> :</w:t>
      </w:r>
    </w:p>
    <w:p w14:paraId="251A5B60" w14:textId="77777777" w:rsidR="00497E95" w:rsidRPr="00497E95" w:rsidRDefault="00DA54A2" w:rsidP="00DA54A2">
      <w:pPr>
        <w:numPr>
          <w:ilvl w:val="0"/>
          <w:numId w:val="4"/>
        </w:numPr>
        <w:ind w:left="426" w:hanging="426"/>
        <w:jc w:val="both"/>
        <w:rPr>
          <w:lang w:val="id-ID"/>
        </w:rPr>
      </w:pPr>
      <w:r w:rsidRPr="00DA54A2">
        <w:rPr>
          <w:lang w:val="id-ID"/>
        </w:rPr>
        <w:t>If the Q-ratio is above one, it indicates that investing in an asset produces a profit that gives a higher value than the investment expenditure, this will stimulate new investment because the investor values ​​the firm high and performs well, and is considered capable of generating more cash flow both in the future.</w:t>
      </w:r>
    </w:p>
    <w:p w14:paraId="7F303708" w14:textId="77777777" w:rsidR="00C053E6" w:rsidRPr="00C053E6" w:rsidRDefault="00DA54A2" w:rsidP="00DA54A2">
      <w:pPr>
        <w:numPr>
          <w:ilvl w:val="0"/>
          <w:numId w:val="4"/>
        </w:numPr>
        <w:ind w:left="426" w:hanging="426"/>
        <w:jc w:val="both"/>
        <w:rPr>
          <w:lang w:val="id-ID"/>
        </w:rPr>
      </w:pPr>
      <w:r w:rsidRPr="00DA54A2">
        <w:rPr>
          <w:lang w:val="id-ID"/>
        </w:rPr>
        <w:t>If the Q-ratio is below one, the investment in the asset is rated low by the market. This will cause investors are reluctant to invest in the company</w:t>
      </w:r>
      <w:r w:rsidR="00497E95" w:rsidRPr="00C053E6">
        <w:rPr>
          <w:lang w:val="id-ID"/>
        </w:rPr>
        <w:t xml:space="preserve">. </w:t>
      </w:r>
    </w:p>
    <w:p w14:paraId="77BC20D8" w14:textId="1C2EA4D7" w:rsidR="009F3648" w:rsidRDefault="00A40E33" w:rsidP="00510864">
      <w:pPr>
        <w:jc w:val="both"/>
        <w:rPr>
          <w:lang w:val="id-ID"/>
        </w:rPr>
      </w:pPr>
      <w:r>
        <w:rPr>
          <w:lang w:val="id-ID"/>
        </w:rPr>
        <w:t xml:space="preserve">  </w:t>
      </w:r>
    </w:p>
    <w:p w14:paraId="0744F0E3" w14:textId="77777777" w:rsidR="00C053E6" w:rsidRPr="00C053E6" w:rsidRDefault="00DA54A2" w:rsidP="00510864">
      <w:pPr>
        <w:jc w:val="both"/>
        <w:rPr>
          <w:lang w:val="id-ID"/>
        </w:rPr>
      </w:pPr>
      <w:r w:rsidRPr="00DA54A2">
        <w:rPr>
          <w:lang w:val="id-ID"/>
        </w:rPr>
        <w:t>Kim, Keeho and Henderson (1993, in Daghestani et al 2014) explained that theoretically Tobin's Marginal Q is associated with a firm's investment rate, but a direct measurement of Tobin's marginal Q is not possible. For this reason Tobin's average Q is proposed as a proxy for marginal Q, the average Q usage in explaining the investment has been supported by Tobin himself, and the average Q usage has been used in many empirical studies. Chung and Pruitt (1994, in Wolfe and Sauaia 2003) proposed a simple formula for Tobin's Q called approximation Q which is the sum of Market Value Equity (preferred stock market price of the number of shares outstanding) with preferred stock (liquidation value of preferred stock) and Debt (book value of short-term debt, long-term debt, and other debt) whose results are then divided by Total Assets</w:t>
      </w:r>
      <w:r w:rsidR="00C053E6" w:rsidRPr="00C053E6">
        <w:rPr>
          <w:lang w:val="id-ID"/>
        </w:rPr>
        <w:t>.</w:t>
      </w:r>
    </w:p>
    <w:p w14:paraId="7AD9F606" w14:textId="77777777" w:rsidR="009F3648" w:rsidRDefault="009F3648" w:rsidP="00CF053B">
      <w:pPr>
        <w:ind w:left="270" w:hanging="270"/>
        <w:rPr>
          <w:b/>
          <w:lang w:val="id-ID"/>
        </w:rPr>
      </w:pPr>
    </w:p>
    <w:p w14:paraId="16C041EA" w14:textId="77777777" w:rsidR="00CF053B" w:rsidRPr="00CF053B" w:rsidRDefault="00C053E6" w:rsidP="00CF053B">
      <w:pPr>
        <w:ind w:left="270" w:hanging="270"/>
        <w:rPr>
          <w:bCs/>
          <w:lang w:val="id-ID"/>
        </w:rPr>
      </w:pPr>
      <w:r w:rsidRPr="009F3648">
        <w:rPr>
          <w:b/>
          <w:color w:val="E36C0A"/>
          <w:lang w:val="id-ID"/>
        </w:rPr>
        <w:t>B</w:t>
      </w:r>
      <w:r w:rsidR="00CF053B" w:rsidRPr="009F3648">
        <w:rPr>
          <w:b/>
          <w:color w:val="E36C0A"/>
          <w:lang w:val="id-ID"/>
        </w:rPr>
        <w:t>.</w:t>
      </w:r>
      <w:r w:rsidR="00CF053B" w:rsidRPr="009F3648">
        <w:rPr>
          <w:color w:val="E36C0A"/>
          <w:lang w:val="id-ID"/>
        </w:rPr>
        <w:t xml:space="preserve"> </w:t>
      </w:r>
      <w:r w:rsidR="009F3648">
        <w:rPr>
          <w:color w:val="E36C0A"/>
          <w:lang w:val="id-ID"/>
        </w:rPr>
        <w:t xml:space="preserve">   </w:t>
      </w:r>
      <w:r w:rsidR="00CF053B" w:rsidRPr="009F3648">
        <w:rPr>
          <w:b/>
          <w:bCs/>
          <w:color w:val="E36C0A"/>
          <w:lang w:val="id-ID"/>
        </w:rPr>
        <w:t>Efficient  Market Hypothesis</w:t>
      </w:r>
    </w:p>
    <w:p w14:paraId="68AD59B0" w14:textId="77777777" w:rsidR="00497E95" w:rsidRDefault="00DA54A2" w:rsidP="00CF053B">
      <w:pPr>
        <w:jc w:val="both"/>
        <w:rPr>
          <w:lang w:val="id-ID"/>
        </w:rPr>
      </w:pPr>
      <w:r w:rsidRPr="00DA54A2">
        <w:rPr>
          <w:sz w:val="23"/>
          <w:szCs w:val="23"/>
          <w:lang w:val="id-ID" w:eastAsia="id-ID"/>
        </w:rPr>
        <w:t>Guerrien and Gun (2011) research cites Fama's (1970) assertion that a capital market is said to be efficient when the listed security prices fully reflect all relevant information. Efficient in this sense is referred to as efficiently informational. The relevant information may be in the form of past information, information available to the public, or information available to the public or not. The level of capital market efficiency is divided into three types, namely</w:t>
      </w:r>
      <w:r w:rsidR="00CF053B" w:rsidRPr="00CF053B">
        <w:rPr>
          <w:lang w:val="id-ID"/>
        </w:rPr>
        <w:t>:</w:t>
      </w:r>
    </w:p>
    <w:p w14:paraId="5D56B12B" w14:textId="77777777" w:rsidR="00497E95" w:rsidRDefault="00CF053B" w:rsidP="00CF053B">
      <w:pPr>
        <w:ind w:left="450" w:hanging="450"/>
        <w:jc w:val="both"/>
        <w:rPr>
          <w:lang w:val="id-ID"/>
        </w:rPr>
      </w:pPr>
      <w:r w:rsidRPr="00CF053B">
        <w:rPr>
          <w:lang w:val="id-ID"/>
        </w:rPr>
        <w:t xml:space="preserve">1) </w:t>
      </w:r>
      <w:r w:rsidR="00DA54A2" w:rsidRPr="00DA54A2">
        <w:rPr>
          <w:lang w:val="id-ID"/>
        </w:rPr>
        <w:t xml:space="preserve">Weak form efficiency; The market is considered to be an efficient weak form if the listed </w:t>
      </w:r>
      <w:r w:rsidR="0038207A">
        <w:rPr>
          <w:lang w:val="id-ID"/>
        </w:rPr>
        <w:t>security prices reflect fully on</w:t>
      </w:r>
      <w:r w:rsidR="00DA54A2" w:rsidRPr="00DA54A2">
        <w:rPr>
          <w:lang w:val="id-ID"/>
        </w:rPr>
        <w:t xml:space="preserve"> the past information</w:t>
      </w:r>
      <w:r w:rsidRPr="00CF053B">
        <w:rPr>
          <w:lang w:val="id-ID"/>
        </w:rPr>
        <w:t>.</w:t>
      </w:r>
    </w:p>
    <w:p w14:paraId="61D79E9A" w14:textId="77777777" w:rsidR="00883B84" w:rsidRPr="00883B84" w:rsidRDefault="00CF053B" w:rsidP="00883B84">
      <w:pPr>
        <w:ind w:left="450" w:hanging="450"/>
        <w:jc w:val="both"/>
        <w:rPr>
          <w:lang w:val="id-ID"/>
        </w:rPr>
      </w:pPr>
      <w:r w:rsidRPr="00CF053B">
        <w:rPr>
          <w:lang w:val="id-ID"/>
        </w:rPr>
        <w:t xml:space="preserve">2) </w:t>
      </w:r>
      <w:r w:rsidR="00DA54A2">
        <w:rPr>
          <w:lang w:val="id-ID"/>
        </w:rPr>
        <w:t xml:space="preserve"> </w:t>
      </w:r>
      <w:r w:rsidR="00883B84" w:rsidRPr="00883B84">
        <w:rPr>
          <w:lang w:val="id-ID"/>
        </w:rPr>
        <w:t>Semi-strong form</w:t>
      </w:r>
      <w:r w:rsidR="0038207A">
        <w:rPr>
          <w:lang w:val="id-ID"/>
        </w:rPr>
        <w:t>s</w:t>
      </w:r>
      <w:r w:rsidR="00883B84" w:rsidRPr="00883B84">
        <w:rPr>
          <w:lang w:val="id-ID"/>
        </w:rPr>
        <w:t xml:space="preserve"> efficiency (semi strong form efficiency)</w:t>
      </w:r>
    </w:p>
    <w:p w14:paraId="27EC6DF0" w14:textId="77777777" w:rsidR="00CF053B" w:rsidRDefault="00883B84" w:rsidP="00883B84">
      <w:pPr>
        <w:ind w:left="450" w:hanging="450"/>
        <w:jc w:val="both"/>
        <w:rPr>
          <w:lang w:val="id-ID"/>
        </w:rPr>
      </w:pPr>
      <w:r w:rsidRPr="00883B84">
        <w:rPr>
          <w:lang w:val="id-ID"/>
        </w:rPr>
        <w:t xml:space="preserve">       The market is considered to be an efficient half-robust form if the listed security prices reflect fully the published information</w:t>
      </w:r>
      <w:r w:rsidR="00CF053B" w:rsidRPr="00CF053B">
        <w:rPr>
          <w:lang w:val="id-ID"/>
        </w:rPr>
        <w:t>.</w:t>
      </w:r>
    </w:p>
    <w:p w14:paraId="34424A8F" w14:textId="77777777" w:rsidR="00883B84" w:rsidRPr="00883B84" w:rsidRDefault="00CF053B" w:rsidP="00883B84">
      <w:pPr>
        <w:ind w:left="450" w:hanging="450"/>
        <w:jc w:val="both"/>
        <w:rPr>
          <w:lang w:val="id-ID"/>
        </w:rPr>
      </w:pPr>
      <w:r w:rsidRPr="00CF053B">
        <w:rPr>
          <w:lang w:val="id-ID"/>
        </w:rPr>
        <w:t xml:space="preserve">3) </w:t>
      </w:r>
      <w:r w:rsidR="00883B84" w:rsidRPr="00883B84">
        <w:rPr>
          <w:lang w:val="id-ID"/>
        </w:rPr>
        <w:t>Strong form efficiency (strong form efficiency)</w:t>
      </w:r>
    </w:p>
    <w:p w14:paraId="6E331687" w14:textId="77777777" w:rsidR="00902A6E" w:rsidRDefault="00883B84" w:rsidP="00883B84">
      <w:pPr>
        <w:ind w:left="450" w:hanging="450"/>
        <w:jc w:val="both"/>
        <w:rPr>
          <w:lang w:val="id-ID"/>
        </w:rPr>
      </w:pPr>
      <w:r w:rsidRPr="00883B84">
        <w:rPr>
          <w:lang w:val="id-ID"/>
        </w:rPr>
        <w:t xml:space="preserve">       The market is considered to be an efficient strong form if the listed security prices reflect fully the published information as well as the company's private information</w:t>
      </w:r>
      <w:r w:rsidR="00CF053B" w:rsidRPr="00CF053B">
        <w:rPr>
          <w:lang w:val="id-ID"/>
        </w:rPr>
        <w:t>.</w:t>
      </w:r>
    </w:p>
    <w:p w14:paraId="38F43D4B" w14:textId="77777777" w:rsidR="009F3648" w:rsidRPr="00497E95" w:rsidRDefault="009F3648" w:rsidP="00883B84">
      <w:pPr>
        <w:ind w:left="450" w:hanging="450"/>
        <w:jc w:val="both"/>
        <w:rPr>
          <w:lang w:val="id-ID"/>
        </w:rPr>
      </w:pPr>
    </w:p>
    <w:p w14:paraId="0CE030A7" w14:textId="77777777" w:rsidR="00EE37BB" w:rsidRPr="009F3648" w:rsidRDefault="00902A6E" w:rsidP="00902A6E">
      <w:pPr>
        <w:pStyle w:val="ListParagraph"/>
        <w:numPr>
          <w:ilvl w:val="0"/>
          <w:numId w:val="5"/>
        </w:numPr>
        <w:ind w:left="360"/>
        <w:jc w:val="both"/>
        <w:rPr>
          <w:color w:val="E36C0A"/>
          <w:lang w:val="id-ID"/>
        </w:rPr>
      </w:pPr>
      <w:r w:rsidRPr="009F3648">
        <w:rPr>
          <w:b/>
          <w:bCs/>
          <w:color w:val="E36C0A"/>
          <w:sz w:val="23"/>
          <w:szCs w:val="23"/>
          <w:lang w:val="id-ID" w:eastAsia="id-ID"/>
        </w:rPr>
        <w:t xml:space="preserve"> </w:t>
      </w:r>
      <w:r w:rsidR="00CF053B" w:rsidRPr="009F3648">
        <w:rPr>
          <w:b/>
          <w:bCs/>
          <w:i/>
          <w:iCs/>
          <w:color w:val="E36C0A"/>
          <w:sz w:val="23"/>
          <w:szCs w:val="23"/>
          <w:lang w:val="id-ID" w:eastAsia="id-ID"/>
        </w:rPr>
        <w:t>Signaling Theory</w:t>
      </w:r>
    </w:p>
    <w:p w14:paraId="0FB7384F" w14:textId="11CF9FE1" w:rsidR="00902A6E" w:rsidRDefault="00BE1D78" w:rsidP="00902A6E">
      <w:pPr>
        <w:autoSpaceDE w:val="0"/>
        <w:autoSpaceDN w:val="0"/>
        <w:adjustRightInd w:val="0"/>
        <w:jc w:val="both"/>
        <w:rPr>
          <w:iCs/>
          <w:lang w:eastAsia="id-ID"/>
        </w:rPr>
      </w:pPr>
      <w:r w:rsidRPr="00BE1D78">
        <w:t>It was first proposed by Lintner (1956) stating that the company's stock p</w:t>
      </w:r>
      <w:r w:rsidR="00A40E33">
        <w:t>rice will change when a dividen</w:t>
      </w:r>
      <w:r w:rsidRPr="00BE1D78">
        <w:t xml:space="preserve"> payout chan</w:t>
      </w:r>
      <w:r w:rsidR="00CD6699">
        <w:t>ges. Some of the researchers that</w:t>
      </w:r>
      <w:r w:rsidRPr="00BE1D78">
        <w:t xml:space="preserve"> put forward are: Ross (1977), followed by Leland and Pyle (1977) and Bhattacharya (1979). This model is bas</w:t>
      </w:r>
      <w:r w:rsidR="00CD6699">
        <w:t>ed on the idea that managers that</w:t>
      </w:r>
      <w:r w:rsidRPr="00BE1D78">
        <w:t xml:space="preserve"> have </w:t>
      </w:r>
      <w:r w:rsidRPr="00BE1D78">
        <w:lastRenderedPageBreak/>
        <w:t xml:space="preserve">good information about the company will </w:t>
      </w:r>
      <w:r w:rsidR="00CD6699">
        <w:t>try to convey the information about</w:t>
      </w:r>
      <w:r w:rsidRPr="00BE1D78">
        <w:t xml:space="preserve"> outside investors in order to increase the company's stock price</w:t>
      </w:r>
      <w:r w:rsidR="00902A6E" w:rsidRPr="00DA64EF">
        <w:t>.</w:t>
      </w:r>
      <w:r w:rsidR="00902A6E">
        <w:rPr>
          <w:lang w:val="id-ID"/>
        </w:rPr>
        <w:t xml:space="preserve"> </w:t>
      </w:r>
    </w:p>
    <w:p w14:paraId="02F7E6AD" w14:textId="77777777" w:rsidR="00CF053B" w:rsidRDefault="00BE1D78" w:rsidP="00A015A9">
      <w:pPr>
        <w:autoSpaceDE w:val="0"/>
        <w:autoSpaceDN w:val="0"/>
        <w:adjustRightInd w:val="0"/>
        <w:jc w:val="both"/>
        <w:rPr>
          <w:sz w:val="23"/>
          <w:szCs w:val="23"/>
          <w:lang w:val="id-ID" w:eastAsia="id-ID"/>
        </w:rPr>
      </w:pPr>
      <w:r w:rsidRPr="00BE1D78">
        <w:rPr>
          <w:iCs/>
          <w:lang w:eastAsia="id-ID"/>
        </w:rPr>
        <w:t>Signal theory explains the importance of com</w:t>
      </w:r>
      <w:r w:rsidR="00CD6699">
        <w:rPr>
          <w:iCs/>
          <w:lang w:eastAsia="id-ID"/>
        </w:rPr>
        <w:t>panies presenting information about</w:t>
      </w:r>
      <w:r w:rsidRPr="00BE1D78">
        <w:rPr>
          <w:iCs/>
          <w:lang w:eastAsia="id-ID"/>
        </w:rPr>
        <w:t xml:space="preserve"> the public (Wolk et al., 2001). Such information may be financial statements, company policy information or other information voluntarily disclosed by company management. Spence (1973) states in this theory there are two parties involved, namely the insiders and outsiders. Inside parties such as management act as a party that gives signals and outside parties such</w:t>
      </w:r>
      <w:r w:rsidR="00CD6699">
        <w:rPr>
          <w:iCs/>
          <w:lang w:eastAsia="id-ID"/>
        </w:rPr>
        <w:t xml:space="preserve"> as investors act as parties that</w:t>
      </w:r>
      <w:r w:rsidRPr="00BE1D78">
        <w:rPr>
          <w:iCs/>
          <w:lang w:eastAsia="id-ID"/>
        </w:rPr>
        <w:t xml:space="preserve"> receive the </w:t>
      </w:r>
      <w:r w:rsidR="00CD6699">
        <w:rPr>
          <w:iCs/>
          <w:lang w:eastAsia="id-ID"/>
        </w:rPr>
        <w:t>signal. Management as a party of</w:t>
      </w:r>
      <w:r w:rsidRPr="00BE1D78">
        <w:rPr>
          <w:iCs/>
          <w:lang w:eastAsia="id-ID"/>
        </w:rPr>
        <w:t xml:space="preserve"> course has all information relating to the company both positive and negative information, but not always management will publish the information as a whole to investors. In order to create and maintain a good corporate image, management typically deliberately communica</w:t>
      </w:r>
      <w:r w:rsidR="00CD6699">
        <w:rPr>
          <w:iCs/>
          <w:lang w:eastAsia="id-ID"/>
        </w:rPr>
        <w:t>tes only positive information about</w:t>
      </w:r>
      <w:r w:rsidRPr="00BE1D78">
        <w:rPr>
          <w:iCs/>
          <w:lang w:eastAsia="id-ID"/>
        </w:rPr>
        <w:t xml:space="preserve"> investors, resulting in an asymmetric information phenomenon (Eriksson and Simpson, 2007)</w:t>
      </w:r>
      <w:r w:rsidR="00902A6E">
        <w:rPr>
          <w:sz w:val="23"/>
          <w:szCs w:val="23"/>
          <w:lang w:val="id-ID" w:eastAsia="id-ID"/>
        </w:rPr>
        <w:t>.</w:t>
      </w:r>
    </w:p>
    <w:p w14:paraId="7B592242" w14:textId="77777777" w:rsidR="009F3648" w:rsidRDefault="009F3648" w:rsidP="00A015A9">
      <w:pPr>
        <w:autoSpaceDE w:val="0"/>
        <w:autoSpaceDN w:val="0"/>
        <w:adjustRightInd w:val="0"/>
        <w:jc w:val="both"/>
        <w:rPr>
          <w:lang w:val="id-ID"/>
        </w:rPr>
      </w:pPr>
    </w:p>
    <w:p w14:paraId="25842CA6" w14:textId="77777777" w:rsidR="009F3648" w:rsidRDefault="00902A6E" w:rsidP="009F3648">
      <w:pPr>
        <w:pStyle w:val="ListParagraph"/>
        <w:numPr>
          <w:ilvl w:val="0"/>
          <w:numId w:val="5"/>
        </w:numPr>
        <w:autoSpaceDE w:val="0"/>
        <w:autoSpaceDN w:val="0"/>
        <w:adjustRightInd w:val="0"/>
        <w:ind w:left="360"/>
        <w:jc w:val="both"/>
        <w:rPr>
          <w:color w:val="E36C0A"/>
          <w:lang w:val="id-ID"/>
        </w:rPr>
      </w:pPr>
      <w:r w:rsidRPr="009F3648">
        <w:rPr>
          <w:b/>
          <w:bCs/>
          <w:color w:val="E36C0A"/>
          <w:lang w:val="id-ID"/>
        </w:rPr>
        <w:t>Asymetric Information Theory</w:t>
      </w:r>
    </w:p>
    <w:p w14:paraId="5AB1B1A6" w14:textId="77777777" w:rsidR="001D14F7" w:rsidRPr="009F3648" w:rsidRDefault="00BE1D78" w:rsidP="009F3648">
      <w:pPr>
        <w:pStyle w:val="ListParagraph"/>
        <w:autoSpaceDE w:val="0"/>
        <w:autoSpaceDN w:val="0"/>
        <w:adjustRightInd w:val="0"/>
        <w:ind w:left="0"/>
        <w:jc w:val="both"/>
        <w:rPr>
          <w:color w:val="E36C0A"/>
          <w:lang w:val="id-ID"/>
        </w:rPr>
      </w:pPr>
      <w:r w:rsidRPr="00BE1D78">
        <w:t>This theory was first put forward in Aberlof's research (1970), followed by Spence (1973), Haugen and Senbet (1979), Myers and Majluf (1984), Cheung and Krinsky (1994). Asymmetric information, according to Brigham and Houston (2006) is a situation where managers have different (better) information about the prospect of the firm than the investor has</w:t>
      </w:r>
      <w:r w:rsidR="001D14F7">
        <w:rPr>
          <w:lang w:eastAsia="id-ID"/>
        </w:rPr>
        <w:t>.</w:t>
      </w:r>
      <w:r w:rsidR="001D14F7" w:rsidRPr="009F3648">
        <w:rPr>
          <w:lang w:val="id-ID"/>
        </w:rPr>
        <w:t xml:space="preserve"> </w:t>
      </w:r>
    </w:p>
    <w:p w14:paraId="6DF902DF" w14:textId="77777777" w:rsidR="000B15FB" w:rsidRDefault="000B15FB" w:rsidP="001D14F7">
      <w:pPr>
        <w:pStyle w:val="ListParagraph"/>
        <w:autoSpaceDE w:val="0"/>
        <w:autoSpaceDN w:val="0"/>
        <w:adjustRightInd w:val="0"/>
        <w:ind w:left="0" w:firstLine="360"/>
        <w:jc w:val="both"/>
        <w:rPr>
          <w:lang w:val="id-ID"/>
        </w:rPr>
      </w:pPr>
    </w:p>
    <w:p w14:paraId="04F00F7D" w14:textId="30E176CE" w:rsidR="001D14F7" w:rsidRDefault="00BE1D78" w:rsidP="000B15FB">
      <w:pPr>
        <w:pStyle w:val="ListParagraph"/>
        <w:autoSpaceDE w:val="0"/>
        <w:autoSpaceDN w:val="0"/>
        <w:adjustRightInd w:val="0"/>
        <w:ind w:left="0"/>
        <w:jc w:val="both"/>
      </w:pPr>
      <w:r w:rsidRPr="00BE1D78">
        <w:t>This is a condition where corporate managers have more information about operations and prospects than others. Thus, the management might think that the stock price is currently overvalued (too expensive). If this is supposed to happen, then management would have thought it would be better to offer new shares (so it can be sold at a price that is more expensive than it should be). But the financiers will interpret if the company offers new shares, one of which m</w:t>
      </w:r>
      <w:r w:rsidR="00232765">
        <w:t xml:space="preserve">ay be the current stock price </w:t>
      </w:r>
      <w:r w:rsidR="00232765">
        <w:rPr>
          <w:lang w:val="id-ID"/>
        </w:rPr>
        <w:t>are</w:t>
      </w:r>
      <w:r w:rsidRPr="00BE1D78">
        <w:t xml:space="preserve"> too expensive (according to the perception of the management).</w:t>
      </w:r>
      <w:r w:rsidR="00A40E33">
        <w:t xml:space="preserve"> As a result</w:t>
      </w:r>
      <w:r w:rsidRPr="00BE1D78">
        <w:t xml:space="preserve"> investors will bid for the new stock at a lower price. Therefore, the emission of new shares will lower the stock price (Saidi, 2004)</w:t>
      </w:r>
      <w:r w:rsidR="001D14F7" w:rsidRPr="001D14F7">
        <w:t>.</w:t>
      </w:r>
    </w:p>
    <w:p w14:paraId="088EE63C" w14:textId="77777777" w:rsidR="000B15FB" w:rsidRPr="000B15FB" w:rsidRDefault="006229E1" w:rsidP="000B15FB">
      <w:pPr>
        <w:pStyle w:val="ListParagraph"/>
        <w:numPr>
          <w:ilvl w:val="0"/>
          <w:numId w:val="5"/>
        </w:numPr>
        <w:autoSpaceDE w:val="0"/>
        <w:autoSpaceDN w:val="0"/>
        <w:adjustRightInd w:val="0"/>
        <w:ind w:left="360"/>
        <w:jc w:val="both"/>
        <w:rPr>
          <w:color w:val="E36C0A"/>
        </w:rPr>
      </w:pPr>
      <w:r w:rsidRPr="000B15FB">
        <w:rPr>
          <w:b/>
          <w:bCs/>
          <w:color w:val="E36C0A"/>
          <w:lang w:val="id-ID"/>
        </w:rPr>
        <w:t>Agency Theory</w:t>
      </w:r>
    </w:p>
    <w:p w14:paraId="6D234BA2" w14:textId="77777777" w:rsidR="00436367" w:rsidRPr="000B15FB" w:rsidRDefault="00BE1D78" w:rsidP="000B15FB">
      <w:pPr>
        <w:pStyle w:val="ListParagraph"/>
        <w:autoSpaceDE w:val="0"/>
        <w:autoSpaceDN w:val="0"/>
        <w:adjustRightInd w:val="0"/>
        <w:ind w:left="0"/>
        <w:jc w:val="both"/>
        <w:rPr>
          <w:color w:val="E36C0A"/>
        </w:rPr>
      </w:pPr>
      <w:r w:rsidRPr="000B15FB">
        <w:rPr>
          <w:lang w:val="id-ID"/>
        </w:rPr>
        <w:t xml:space="preserve">In agency theory called agency relationship is a contract </w:t>
      </w:r>
      <w:r w:rsidR="00232765" w:rsidRPr="000B15FB">
        <w:rPr>
          <w:lang w:val="id-ID"/>
        </w:rPr>
        <w:t>in which one or more persons that</w:t>
      </w:r>
      <w:r w:rsidRPr="000B15FB">
        <w:rPr>
          <w:lang w:val="id-ID"/>
        </w:rPr>
        <w:t xml:space="preserve"> are principal assign tasks to agent / task on behalf of principal and delegate authority to agent (Jensen and Meckling, 1976). In theory this principal is the owner / shareholder and the meaning of agent is the management that manage the company. Basically the company's management tends to gain the most profit with the cost of others. (Jensen and Meckling 1976, in Mantysaari 2010) argue that agency problems will occur when the proportion of managerial ownership of a company's stock is less than 100% so managers tend to act to pursue their self-interest and are </w:t>
      </w:r>
      <w:r w:rsidR="00232765" w:rsidRPr="000B15FB">
        <w:rPr>
          <w:lang w:val="id-ID"/>
        </w:rPr>
        <w:t>not based on maximizing value of</w:t>
      </w:r>
      <w:r w:rsidRPr="000B15FB">
        <w:rPr>
          <w:lang w:val="id-ID"/>
        </w:rPr>
        <w:t xml:space="preserve"> funding decision-making. Jensen and Meckling </w:t>
      </w:r>
      <w:r w:rsidR="00232765" w:rsidRPr="000B15FB">
        <w:rPr>
          <w:lang w:val="id-ID"/>
        </w:rPr>
        <w:t xml:space="preserve">to </w:t>
      </w:r>
      <w:r w:rsidRPr="000B15FB">
        <w:rPr>
          <w:lang w:val="id-ID"/>
        </w:rPr>
        <w:t>argue that the above conditions are a consequence of the separation of managerial functions by ownership or often called the separation of the decision-making and risk bearing functions of the firm. Management does not bear the risk of mistakes in making decisions, the risk is fully borne by the principal. Therefore, management tends to make consumptive and non-productive expenditures for their personal interests, such as the increase of salary, facilities and status</w:t>
      </w:r>
      <w:r w:rsidR="00436367" w:rsidRPr="000B15FB">
        <w:rPr>
          <w:lang w:val="id-ID"/>
        </w:rPr>
        <w:t xml:space="preserve">. </w:t>
      </w:r>
    </w:p>
    <w:p w14:paraId="7E197CC2" w14:textId="77777777" w:rsidR="000B15FB" w:rsidRDefault="000B15FB" w:rsidP="00436367">
      <w:pPr>
        <w:pStyle w:val="ListParagraph"/>
        <w:autoSpaceDE w:val="0"/>
        <w:autoSpaceDN w:val="0"/>
        <w:adjustRightInd w:val="0"/>
        <w:ind w:left="0" w:firstLine="360"/>
        <w:jc w:val="both"/>
        <w:rPr>
          <w:bCs/>
          <w:lang w:val="id-ID"/>
        </w:rPr>
      </w:pPr>
    </w:p>
    <w:p w14:paraId="32D428DF" w14:textId="77777777" w:rsidR="000B15FB" w:rsidRDefault="00BE1D78" w:rsidP="000B15FB">
      <w:pPr>
        <w:pStyle w:val="ListParagraph"/>
        <w:autoSpaceDE w:val="0"/>
        <w:autoSpaceDN w:val="0"/>
        <w:adjustRightInd w:val="0"/>
        <w:ind w:left="0"/>
        <w:jc w:val="both"/>
        <w:rPr>
          <w:bCs/>
          <w:lang w:val="id-ID"/>
        </w:rPr>
      </w:pPr>
      <w:r w:rsidRPr="00BE1D78">
        <w:rPr>
          <w:bCs/>
          <w:lang w:val="sv-SE"/>
        </w:rPr>
        <w:t xml:space="preserve">Jensen and Meckling </w:t>
      </w:r>
      <w:r w:rsidR="00232765">
        <w:rPr>
          <w:bCs/>
          <w:lang w:val="id-ID"/>
        </w:rPr>
        <w:t xml:space="preserve">to </w:t>
      </w:r>
      <w:r w:rsidRPr="00BE1D78">
        <w:rPr>
          <w:bCs/>
          <w:lang w:val="sv-SE"/>
        </w:rPr>
        <w:t>argue that ownership concentration has a positive impact on firm value because concentrated ownership will minimize agency costs. According to agency theory, Jensen and Meckling (1976) define agency costs as the amount of costs incurred in relation to structuring, administering and enforcing contracts (both formal and informal) plus residual loss. Enforcement costs include the cost of monitoring and bonding, ie the amount of resources spent by the principal (the shareholder / owner) and the agent (manager) to ensure the running of the contract enforcement. Residual costs include opportunity loss when the contract is optimal but not fully implemented. So it can be said that agency costs include all costs that refer to contracting costs, transaction costs, moral hazard costs, and information costs. Some agency costs may be reduced by control procedures</w:t>
      </w:r>
      <w:r w:rsidR="00436367" w:rsidRPr="00436367">
        <w:rPr>
          <w:bCs/>
          <w:lang w:val="sv-SE"/>
        </w:rPr>
        <w:t>.</w:t>
      </w:r>
    </w:p>
    <w:p w14:paraId="1030B95F" w14:textId="77777777" w:rsidR="00436367" w:rsidRDefault="00436367" w:rsidP="000B15FB">
      <w:pPr>
        <w:pStyle w:val="ListParagraph"/>
        <w:autoSpaceDE w:val="0"/>
        <w:autoSpaceDN w:val="0"/>
        <w:adjustRightInd w:val="0"/>
        <w:ind w:left="0"/>
        <w:jc w:val="both"/>
        <w:rPr>
          <w:bCs/>
          <w:lang w:val="id-ID"/>
        </w:rPr>
      </w:pPr>
      <w:r w:rsidRPr="00436367">
        <w:rPr>
          <w:bCs/>
          <w:lang w:val="sv-SE"/>
        </w:rPr>
        <w:lastRenderedPageBreak/>
        <w:t xml:space="preserve"> </w:t>
      </w:r>
    </w:p>
    <w:p w14:paraId="03438789" w14:textId="77777777" w:rsidR="003F3C32" w:rsidRDefault="003F3C32" w:rsidP="000B15FB">
      <w:pPr>
        <w:autoSpaceDE w:val="0"/>
        <w:autoSpaceDN w:val="0"/>
        <w:adjustRightInd w:val="0"/>
        <w:jc w:val="both"/>
        <w:rPr>
          <w:b/>
          <w:bCs/>
          <w:iCs/>
          <w:color w:val="E36C0A"/>
        </w:rPr>
      </w:pPr>
    </w:p>
    <w:p w14:paraId="38443A7E" w14:textId="77777777" w:rsidR="000B15FB" w:rsidRPr="00067C4D" w:rsidRDefault="002E41EA" w:rsidP="000B15FB">
      <w:pPr>
        <w:autoSpaceDE w:val="0"/>
        <w:autoSpaceDN w:val="0"/>
        <w:adjustRightInd w:val="0"/>
        <w:jc w:val="both"/>
        <w:rPr>
          <w:b/>
          <w:bCs/>
          <w:iCs/>
          <w:color w:val="E36C0A"/>
          <w:lang w:val="id-ID"/>
        </w:rPr>
      </w:pPr>
      <w:r w:rsidRPr="00067C4D">
        <w:rPr>
          <w:b/>
          <w:bCs/>
          <w:iCs/>
          <w:color w:val="E36C0A"/>
        </w:rPr>
        <w:t>*</w:t>
      </w:r>
      <w:r w:rsidR="000B15FB" w:rsidRPr="00067C4D">
        <w:rPr>
          <w:b/>
          <w:bCs/>
          <w:iCs/>
          <w:color w:val="E36C0A"/>
        </w:rPr>
        <w:t xml:space="preserve"> </w:t>
      </w:r>
      <w:r w:rsidR="00BE1D78" w:rsidRPr="00067C4D">
        <w:rPr>
          <w:b/>
          <w:bCs/>
          <w:iCs/>
          <w:color w:val="E36C0A"/>
        </w:rPr>
        <w:t>Profitability (Rentability</w:t>
      </w:r>
      <w:r w:rsidR="008F2F9A" w:rsidRPr="00067C4D">
        <w:rPr>
          <w:b/>
          <w:bCs/>
          <w:iCs/>
          <w:color w:val="E36C0A"/>
        </w:rPr>
        <w:t xml:space="preserve"> - </w:t>
      </w:r>
      <w:r w:rsidR="008F2F9A" w:rsidRPr="00067C4D">
        <w:rPr>
          <w:b/>
          <w:bCs/>
          <w:i/>
          <w:iCs/>
          <w:color w:val="E36C0A"/>
        </w:rPr>
        <w:t>Earning</w:t>
      </w:r>
      <w:r w:rsidR="008F2F9A" w:rsidRPr="00067C4D">
        <w:rPr>
          <w:b/>
          <w:bCs/>
          <w:iCs/>
          <w:color w:val="E36C0A"/>
        </w:rPr>
        <w:t>)</w:t>
      </w:r>
    </w:p>
    <w:p w14:paraId="2C84CA78" w14:textId="77777777" w:rsidR="000B15FB" w:rsidRDefault="00BE1D78" w:rsidP="000B15FB">
      <w:pPr>
        <w:autoSpaceDE w:val="0"/>
        <w:autoSpaceDN w:val="0"/>
        <w:adjustRightInd w:val="0"/>
        <w:jc w:val="both"/>
        <w:rPr>
          <w:bCs/>
          <w:lang w:val="id-ID"/>
        </w:rPr>
      </w:pPr>
      <w:r w:rsidRPr="00BE1D78">
        <w:rPr>
          <w:bCs/>
          <w:lang w:val="en-GB"/>
        </w:rPr>
        <w:t>Hanafi and Halim (2009) define profitability ratios as ratios that measure a company's ability to generate profits (profitability) at certain levels of sales, assets, and capital stock. Simamora (2000) describes profitability as a key measure of overall corporate success. The Committee on Terminology cited by Harahap (2003) defines profitability as the amount derived from the reduction of cost of goods sold, other costs and losses from operating income or income. Meanwhile, according to APB Statement which is also quoted Harahap, interpret profitability is surplus / surplus income over the cost during one accounting period</w:t>
      </w:r>
      <w:r w:rsidR="008F2F9A" w:rsidRPr="008F2F9A">
        <w:rPr>
          <w:bCs/>
          <w:lang w:val="en-GB"/>
        </w:rPr>
        <w:t>.</w:t>
      </w:r>
    </w:p>
    <w:p w14:paraId="7D581723" w14:textId="77777777" w:rsidR="000B15FB" w:rsidRDefault="000B15FB" w:rsidP="000B15FB">
      <w:pPr>
        <w:autoSpaceDE w:val="0"/>
        <w:autoSpaceDN w:val="0"/>
        <w:adjustRightInd w:val="0"/>
        <w:jc w:val="both"/>
        <w:rPr>
          <w:bCs/>
          <w:lang w:val="id-ID"/>
        </w:rPr>
      </w:pPr>
    </w:p>
    <w:p w14:paraId="377C86BD" w14:textId="77777777" w:rsidR="000B15FB" w:rsidRDefault="00BE1D78" w:rsidP="000B15FB">
      <w:pPr>
        <w:autoSpaceDE w:val="0"/>
        <w:autoSpaceDN w:val="0"/>
        <w:adjustRightInd w:val="0"/>
        <w:jc w:val="both"/>
        <w:rPr>
          <w:bCs/>
          <w:lang w:val="id-ID"/>
        </w:rPr>
      </w:pPr>
      <w:r w:rsidRPr="00BE1D78">
        <w:rPr>
          <w:bCs/>
          <w:lang w:val="id-ID"/>
        </w:rPr>
        <w:t>Profitability / Performance of banks is a measure of the success of a bank that reflects the ability of management in managing their business. Performance appraisal is a systematic, self-directed and objective assessment of the future, on the policy or management decision in managing the resources and funds entrusted to it in order to improve the capability of performing better management functions. The size of banking performance is not at the interest rate of the loan because if the loan interest rate used as a measure of bank performance will be biased, since the average interest rate on the loan will depend on the loan portfolio of the bank. Similarly, the average deposit interest rate depends on the distribution of the maturity of various deposits. So in general the most appropriate performance measurement is profitability, where to achieve a high profit the company must be effective and efficient in managing its activities</w:t>
      </w:r>
      <w:r w:rsidR="008F2F9A" w:rsidRPr="008F2F9A">
        <w:rPr>
          <w:bCs/>
          <w:lang w:val="id-ID"/>
        </w:rPr>
        <w:t>.</w:t>
      </w:r>
      <w:r w:rsidR="00D65B6C">
        <w:rPr>
          <w:bCs/>
          <w:lang w:val="id-ID"/>
        </w:rPr>
        <w:t xml:space="preserve"> </w:t>
      </w:r>
    </w:p>
    <w:p w14:paraId="3F49BF3A" w14:textId="77777777" w:rsidR="000B15FB" w:rsidRDefault="000B15FB" w:rsidP="000B15FB">
      <w:pPr>
        <w:autoSpaceDE w:val="0"/>
        <w:autoSpaceDN w:val="0"/>
        <w:adjustRightInd w:val="0"/>
        <w:jc w:val="both"/>
        <w:rPr>
          <w:bCs/>
          <w:lang w:val="id-ID"/>
        </w:rPr>
      </w:pPr>
    </w:p>
    <w:p w14:paraId="0B39E140" w14:textId="77777777" w:rsidR="00D65B6C" w:rsidRDefault="00BE1D78" w:rsidP="000B15FB">
      <w:pPr>
        <w:autoSpaceDE w:val="0"/>
        <w:autoSpaceDN w:val="0"/>
        <w:adjustRightInd w:val="0"/>
        <w:jc w:val="both"/>
        <w:rPr>
          <w:b/>
          <w:bCs/>
          <w:lang w:val="id-ID"/>
        </w:rPr>
      </w:pPr>
      <w:r w:rsidRPr="00BE1D78">
        <w:rPr>
          <w:bCs/>
          <w:lang w:val="id-ID"/>
        </w:rPr>
        <w:t>In banking to measure the level of health is earnings (earnings) or better known as the ability of banks to gain profit. Please note that if the bank always suffered losses in its operational act</w:t>
      </w:r>
      <w:r w:rsidR="009619E7">
        <w:rPr>
          <w:bCs/>
          <w:lang w:val="id-ID"/>
        </w:rPr>
        <w:t>ivities then of course over timing</w:t>
      </w:r>
      <w:r w:rsidRPr="00BE1D78">
        <w:rPr>
          <w:bCs/>
          <w:lang w:val="id-ID"/>
        </w:rPr>
        <w:t xml:space="preserve"> the loss will eat the capital owned by the bank</w:t>
      </w:r>
      <w:r w:rsidR="009619E7">
        <w:rPr>
          <w:bCs/>
          <w:lang w:val="id-ID"/>
        </w:rPr>
        <w:t>. Bank that is</w:t>
      </w:r>
      <w:r w:rsidRPr="00BE1D78">
        <w:rPr>
          <w:bCs/>
          <w:lang w:val="id-ID"/>
        </w:rPr>
        <w:t xml:space="preserve"> in such condition of course can not be said to be healthy</w:t>
      </w:r>
      <w:r w:rsidR="00D65B6C" w:rsidRPr="00D65B6C">
        <w:rPr>
          <w:bCs/>
        </w:rPr>
        <w:t>.</w:t>
      </w:r>
      <w:r w:rsidR="00D65B6C" w:rsidRPr="00D65B6C">
        <w:rPr>
          <w:b/>
          <w:bCs/>
        </w:rPr>
        <w:t xml:space="preserve"> </w:t>
      </w:r>
    </w:p>
    <w:p w14:paraId="46830B2C" w14:textId="77777777" w:rsidR="000B15FB" w:rsidRDefault="000B15FB" w:rsidP="00D65B6C">
      <w:pPr>
        <w:pStyle w:val="ListParagraph"/>
        <w:ind w:left="0" w:firstLine="360"/>
        <w:jc w:val="both"/>
        <w:rPr>
          <w:bCs/>
          <w:lang w:val="id-ID"/>
        </w:rPr>
      </w:pPr>
    </w:p>
    <w:p w14:paraId="2C50764B" w14:textId="77777777" w:rsidR="00D65B6C" w:rsidRDefault="00BE1D78" w:rsidP="000B15FB">
      <w:pPr>
        <w:pStyle w:val="ListParagraph"/>
        <w:ind w:left="0"/>
        <w:jc w:val="both"/>
        <w:rPr>
          <w:bCs/>
        </w:rPr>
      </w:pPr>
      <w:r w:rsidRPr="00BE1D78">
        <w:rPr>
          <w:bCs/>
        </w:rPr>
        <w:t>Assessment of profitability factors include</w:t>
      </w:r>
      <w:r w:rsidR="00312B4F">
        <w:rPr>
          <w:bCs/>
          <w:lang w:val="id-ID"/>
        </w:rPr>
        <w:t>s</w:t>
      </w:r>
      <w:r w:rsidRPr="00BE1D78">
        <w:rPr>
          <w:bCs/>
        </w:rPr>
        <w:t xml:space="preserve"> evaluation of the performance of rentability, sources of profitability, sustainability (rentability), and p</w:t>
      </w:r>
      <w:r w:rsidR="00312B4F">
        <w:rPr>
          <w:bCs/>
        </w:rPr>
        <w:t>rofitability mana</w:t>
      </w:r>
      <w:r w:rsidR="00312B4F">
        <w:rPr>
          <w:bCs/>
          <w:lang w:val="id-ID"/>
        </w:rPr>
        <w:t>gement</w:t>
      </w:r>
      <w:r w:rsidRPr="00BE1D78">
        <w:rPr>
          <w:bCs/>
        </w:rPr>
        <w:t>. Assessment is done by considering the level, trend, structure, stability of bank rentability, and comparison of bank performance with peer group performance, either through qualitative or quantitative aspect analysis. In determining the peer group as a comparison scale, the bank needs to pay attention to the business scale, characteristics, and / or complexity of the bank's business and the availability of data and information owned</w:t>
      </w:r>
      <w:r w:rsidR="00D65B6C" w:rsidRPr="00D65B6C">
        <w:rPr>
          <w:bCs/>
        </w:rPr>
        <w:t>.</w:t>
      </w:r>
      <w:r w:rsidR="00D65B6C">
        <w:rPr>
          <w:b/>
          <w:bCs/>
        </w:rPr>
        <w:t xml:space="preserve"> </w:t>
      </w:r>
    </w:p>
    <w:p w14:paraId="25D6F6E3" w14:textId="77777777" w:rsidR="000B15FB" w:rsidRDefault="000B15FB" w:rsidP="00D65B6C">
      <w:pPr>
        <w:pStyle w:val="ListParagraph"/>
        <w:ind w:left="0" w:firstLine="360"/>
        <w:jc w:val="both"/>
        <w:rPr>
          <w:bCs/>
          <w:lang w:val="id-ID"/>
        </w:rPr>
      </w:pPr>
    </w:p>
    <w:p w14:paraId="42CA1B8F" w14:textId="77777777" w:rsidR="008F2F9A" w:rsidRDefault="00BE1D78" w:rsidP="000B15FB">
      <w:pPr>
        <w:pStyle w:val="ListParagraph"/>
        <w:ind w:left="0"/>
        <w:jc w:val="both"/>
        <w:rPr>
          <w:bCs/>
          <w:lang w:val="id-ID"/>
        </w:rPr>
      </w:pPr>
      <w:r w:rsidRPr="00BE1D78">
        <w:rPr>
          <w:bCs/>
        </w:rPr>
        <w:t>Based on Bank Indonesia Regulation (PBI) Number: 13/1 / PBI / 2011, regarding the Rating of Commercial Banks, valuation of profitability factor is categorized into 5 ratings, Rank 1, Rank 2, Rank 3, Rank 4, and Rank 5. Sequence a smaller revenue</w:t>
      </w:r>
      <w:r w:rsidR="00312B4F">
        <w:rPr>
          <w:bCs/>
          <w:lang w:val="id-ID"/>
        </w:rPr>
        <w:t xml:space="preserve"> </w:t>
      </w:r>
      <w:r w:rsidRPr="00BE1D78">
        <w:rPr>
          <w:bCs/>
        </w:rPr>
        <w:t>ability factor rating reflects better profitability</w:t>
      </w:r>
      <w:r w:rsidR="00D65B6C" w:rsidRPr="00D65B6C">
        <w:rPr>
          <w:bCs/>
        </w:rPr>
        <w:t>.</w:t>
      </w:r>
    </w:p>
    <w:p w14:paraId="5E902686" w14:textId="77777777" w:rsidR="000B15FB" w:rsidRPr="000B15FB" w:rsidRDefault="000B15FB" w:rsidP="000B15FB">
      <w:pPr>
        <w:pStyle w:val="ListParagraph"/>
        <w:ind w:left="0"/>
        <w:jc w:val="both"/>
        <w:rPr>
          <w:bCs/>
          <w:lang w:val="id-ID"/>
        </w:rPr>
      </w:pPr>
    </w:p>
    <w:p w14:paraId="5B22B9E5" w14:textId="77777777" w:rsidR="002E41EA" w:rsidRPr="00067C4D" w:rsidRDefault="002E41EA" w:rsidP="002E41EA">
      <w:pPr>
        <w:jc w:val="both"/>
        <w:rPr>
          <w:bCs/>
          <w:color w:val="E36C0A"/>
          <w:lang w:val="id-ID"/>
        </w:rPr>
      </w:pPr>
      <w:r w:rsidRPr="00067C4D">
        <w:rPr>
          <w:b/>
          <w:i/>
          <w:color w:val="E36C0A"/>
          <w:lang w:eastAsia="id-ID"/>
        </w:rPr>
        <w:t>*   Return On Assets</w:t>
      </w:r>
      <w:r w:rsidRPr="00067C4D">
        <w:rPr>
          <w:b/>
          <w:color w:val="E36C0A"/>
          <w:lang w:eastAsia="id-ID"/>
        </w:rPr>
        <w:t xml:space="preserve"> (ROA)</w:t>
      </w:r>
    </w:p>
    <w:p w14:paraId="5E427083" w14:textId="77777777" w:rsidR="00890FE3" w:rsidRDefault="00BE1D78" w:rsidP="00A340FA">
      <w:pPr>
        <w:pStyle w:val="ListParagraph"/>
        <w:ind w:left="0"/>
        <w:jc w:val="both"/>
        <w:rPr>
          <w:lang w:val="id-ID" w:eastAsia="id-ID"/>
        </w:rPr>
      </w:pPr>
      <w:r w:rsidRPr="00BE1D78">
        <w:rPr>
          <w:lang w:eastAsia="id-ID"/>
        </w:rPr>
        <w:t xml:space="preserve">ROA is used as performance indicator or bank performance. According to Riahi-Belkaoui as quoted by Mawardi (2005), Return On Assets (ROA) is used to measure the financial performance of multinational companies, especially from the point of view of profitability and investment opportunities. ROA shows the effectiveness of the company in generating profits by optimizing the assets owned. The higher the profit generated, the higher the ROA, which means that </w:t>
      </w:r>
      <w:r w:rsidR="00312B4F">
        <w:rPr>
          <w:lang w:eastAsia="id-ID"/>
        </w:rPr>
        <w:t xml:space="preserve">the company is more effective </w:t>
      </w:r>
      <w:r w:rsidR="00312B4F">
        <w:rPr>
          <w:lang w:val="id-ID" w:eastAsia="id-ID"/>
        </w:rPr>
        <w:t>against</w:t>
      </w:r>
      <w:r w:rsidRPr="00BE1D78">
        <w:rPr>
          <w:lang w:eastAsia="id-ID"/>
        </w:rPr>
        <w:t xml:space="preserve"> the use of assets to generate profits. Measuring the level o</w:t>
      </w:r>
      <w:r w:rsidR="00312B4F">
        <w:rPr>
          <w:lang w:eastAsia="id-ID"/>
        </w:rPr>
        <w:t xml:space="preserve">f profitability is important </w:t>
      </w:r>
      <w:r w:rsidR="00312B4F">
        <w:rPr>
          <w:lang w:val="id-ID" w:eastAsia="id-ID"/>
        </w:rPr>
        <w:t>to</w:t>
      </w:r>
      <w:r w:rsidRPr="00BE1D78">
        <w:rPr>
          <w:lang w:eastAsia="id-ID"/>
        </w:rPr>
        <w:t xml:space="preserve"> the bank, because high profitability is the goal of every bank. Return On Assets (ROA) is the abil</w:t>
      </w:r>
      <w:r w:rsidR="00312B4F">
        <w:rPr>
          <w:lang w:eastAsia="id-ID"/>
        </w:rPr>
        <w:t>ity of the capital invested in</w:t>
      </w:r>
      <w:r w:rsidRPr="00BE1D78">
        <w:rPr>
          <w:lang w:eastAsia="id-ID"/>
        </w:rPr>
        <w:t xml:space="preserve"> all the assets of the company to generate profits. ROA uses the percentage of earnings to assess effectiveness in the use of company assets</w:t>
      </w:r>
      <w:r w:rsidR="002E41EA">
        <w:rPr>
          <w:lang w:eastAsia="id-ID"/>
        </w:rPr>
        <w:t>.</w:t>
      </w:r>
    </w:p>
    <w:p w14:paraId="64AC485D" w14:textId="77777777" w:rsidR="00A340FA" w:rsidRPr="00A340FA" w:rsidRDefault="00A340FA" w:rsidP="00A340FA">
      <w:pPr>
        <w:pStyle w:val="ListParagraph"/>
        <w:ind w:left="0"/>
        <w:jc w:val="both"/>
        <w:rPr>
          <w:lang w:val="id-ID"/>
        </w:rPr>
      </w:pPr>
    </w:p>
    <w:p w14:paraId="50B357DA" w14:textId="77777777" w:rsidR="003F3C32" w:rsidRDefault="003F3C32" w:rsidP="00890FE3">
      <w:pPr>
        <w:jc w:val="both"/>
        <w:rPr>
          <w:b/>
          <w:bCs/>
          <w:iCs/>
          <w:color w:val="E36C0A"/>
          <w:lang w:val="id-ID"/>
        </w:rPr>
      </w:pPr>
    </w:p>
    <w:p w14:paraId="0B3E322C" w14:textId="77777777" w:rsidR="003F3C32" w:rsidRDefault="003F3C32" w:rsidP="00890FE3">
      <w:pPr>
        <w:jc w:val="both"/>
        <w:rPr>
          <w:b/>
          <w:bCs/>
          <w:iCs/>
          <w:color w:val="E36C0A"/>
          <w:lang w:val="id-ID"/>
        </w:rPr>
      </w:pPr>
    </w:p>
    <w:p w14:paraId="40610269" w14:textId="77777777" w:rsidR="00890FE3" w:rsidRPr="00067C4D" w:rsidRDefault="00890FE3" w:rsidP="00890FE3">
      <w:pPr>
        <w:jc w:val="both"/>
        <w:rPr>
          <w:color w:val="E36C0A"/>
          <w:lang w:val="id-ID"/>
        </w:rPr>
      </w:pPr>
      <w:r w:rsidRPr="00067C4D">
        <w:rPr>
          <w:b/>
          <w:bCs/>
          <w:iCs/>
          <w:color w:val="E36C0A"/>
          <w:lang w:val="id-ID"/>
        </w:rPr>
        <w:t>*</w:t>
      </w:r>
      <w:r w:rsidRPr="00067C4D">
        <w:rPr>
          <w:b/>
          <w:bCs/>
          <w:iCs/>
          <w:color w:val="E36C0A"/>
        </w:rPr>
        <w:t xml:space="preserve">  </w:t>
      </w:r>
      <w:r w:rsidR="00BE1D78" w:rsidRPr="00067C4D">
        <w:rPr>
          <w:b/>
          <w:bCs/>
          <w:iCs/>
          <w:color w:val="E36C0A"/>
        </w:rPr>
        <w:t xml:space="preserve"> </w:t>
      </w:r>
      <w:r w:rsidRPr="00067C4D">
        <w:rPr>
          <w:b/>
          <w:bCs/>
          <w:i/>
          <w:iCs/>
          <w:color w:val="E36C0A"/>
        </w:rPr>
        <w:t>Capital</w:t>
      </w:r>
    </w:p>
    <w:p w14:paraId="64A63BD3" w14:textId="77777777" w:rsidR="00890FE3" w:rsidRPr="00890FE3" w:rsidRDefault="00D245CF" w:rsidP="00510864">
      <w:pPr>
        <w:jc w:val="both"/>
      </w:pPr>
      <w:r>
        <w:rPr>
          <w:lang w:val="en-GB"/>
        </w:rPr>
        <w:t xml:space="preserve">The capital factor </w:t>
      </w:r>
      <w:r>
        <w:rPr>
          <w:lang w:val="id-ID"/>
        </w:rPr>
        <w:t>are</w:t>
      </w:r>
      <w:r w:rsidR="00BE1D78" w:rsidRPr="00BE1D78">
        <w:rPr>
          <w:lang w:val="en-GB"/>
        </w:rPr>
        <w:t xml:space="preserve"> used to assess the extent to which the bank meets the capital of the bank, the adequacy of capital provision must comply with the provisions of Bank Indonesia regulating the Minimum Capital Requirement for Commercial Banks. With sufficient capital, the bank can utilize part of its capital to finance the need for adequate infrastructure and facilities to carry out bank operations. Lack of capital is a common ph</w:t>
      </w:r>
      <w:r>
        <w:rPr>
          <w:lang w:val="en-GB"/>
        </w:rPr>
        <w:t xml:space="preserve">enomenon experienced by banks </w:t>
      </w:r>
      <w:r>
        <w:rPr>
          <w:lang w:val="id-ID"/>
        </w:rPr>
        <w:t>of</w:t>
      </w:r>
      <w:r w:rsidR="00BE1D78" w:rsidRPr="00BE1D78">
        <w:rPr>
          <w:lang w:val="en-GB"/>
        </w:rPr>
        <w:t xml:space="preserve"> developing countries. Lack of capital can be sourc</w:t>
      </w:r>
      <w:r>
        <w:rPr>
          <w:lang w:val="en-GB"/>
        </w:rPr>
        <w:t xml:space="preserve">ed from two things, the first </w:t>
      </w:r>
      <w:r>
        <w:rPr>
          <w:lang w:val="id-ID"/>
        </w:rPr>
        <w:t>are</w:t>
      </w:r>
      <w:r w:rsidR="00BE1D78" w:rsidRPr="00BE1D78">
        <w:rPr>
          <w:lang w:val="en-GB"/>
        </w:rPr>
        <w:t xml:space="preserve"> due to small </w:t>
      </w:r>
      <w:r>
        <w:rPr>
          <w:lang w:val="en-GB"/>
        </w:rPr>
        <w:t xml:space="preserve">amount of capital, the second </w:t>
      </w:r>
      <w:r>
        <w:rPr>
          <w:lang w:val="id-ID"/>
        </w:rPr>
        <w:t>is</w:t>
      </w:r>
      <w:r w:rsidR="00BE1D78" w:rsidRPr="00BE1D78">
        <w:rPr>
          <w:lang w:val="en-GB"/>
        </w:rPr>
        <w:t xml:space="preserve"> a poor quality of capital. Thus, the supervisor of the bank must be sure that the bank must have sufficient capital, both quantity and quality. In addition, shareholders and bank managers must be fully responsible for the invested capital</w:t>
      </w:r>
      <w:r w:rsidR="00890FE3" w:rsidRPr="00890FE3">
        <w:t xml:space="preserve">. </w:t>
      </w:r>
    </w:p>
    <w:p w14:paraId="58520B02" w14:textId="77777777" w:rsidR="00A340FA" w:rsidRDefault="00A340FA" w:rsidP="00BE1D78">
      <w:pPr>
        <w:jc w:val="both"/>
        <w:rPr>
          <w:lang w:val="id-ID"/>
        </w:rPr>
      </w:pPr>
    </w:p>
    <w:p w14:paraId="5E7D2125" w14:textId="77777777" w:rsidR="00BE1D78" w:rsidRDefault="00BE1D78" w:rsidP="00BE1D78">
      <w:pPr>
        <w:jc w:val="both"/>
      </w:pPr>
      <w:r>
        <w:t>Assessment of capital factor includes evaluation on capital adequacy and adequacy of capital management. In addition, in assessing the adequacy of capital, banks should also link capital adequacy with Bank Risk Profiles such as operational risk, market risk and credit risk. The higher the risk of the bank, the greater the capital that must be provided to anticipate those risks.</w:t>
      </w:r>
    </w:p>
    <w:p w14:paraId="016D64FB" w14:textId="77777777" w:rsidR="00A340FA" w:rsidRDefault="00A340FA" w:rsidP="00BE1D78">
      <w:pPr>
        <w:jc w:val="both"/>
        <w:rPr>
          <w:lang w:val="id-ID"/>
        </w:rPr>
      </w:pPr>
    </w:p>
    <w:p w14:paraId="5CC7B12C" w14:textId="77777777" w:rsidR="00890FE3" w:rsidRDefault="00BE1D78" w:rsidP="00BE1D78">
      <w:pPr>
        <w:jc w:val="both"/>
        <w:rPr>
          <w:lang w:val="id-ID"/>
        </w:rPr>
      </w:pPr>
      <w:r>
        <w:t>Based on Bank Indonesia Regulation (PBI) Number: 13/1 / PBI / 2011, regarding the Rating of Commercial Banks, capital factor rating is categorized into 5 ratings, Rank 1, Rank 2, Rank 3, Rank 4, and Rank 5. Sequence a smaller capital-factor rating reflects better bank capital conditions</w:t>
      </w:r>
      <w:r w:rsidR="00890FE3" w:rsidRPr="00890FE3">
        <w:t>.</w:t>
      </w:r>
    </w:p>
    <w:p w14:paraId="73E4C378" w14:textId="77777777" w:rsidR="00A340FA" w:rsidRDefault="00A340FA" w:rsidP="0021722D">
      <w:pPr>
        <w:jc w:val="both"/>
        <w:rPr>
          <w:lang w:val="id-ID"/>
        </w:rPr>
      </w:pPr>
    </w:p>
    <w:p w14:paraId="2A2BB9C6" w14:textId="77777777" w:rsidR="00A340FA" w:rsidRPr="00067C4D" w:rsidRDefault="0021722D" w:rsidP="00A374BF">
      <w:pPr>
        <w:jc w:val="both"/>
        <w:rPr>
          <w:color w:val="E36C0A"/>
          <w:lang w:val="id-ID"/>
        </w:rPr>
      </w:pPr>
      <w:r w:rsidRPr="00067C4D">
        <w:rPr>
          <w:color w:val="E36C0A"/>
          <w:lang w:val="id-ID"/>
        </w:rPr>
        <w:t xml:space="preserve">*  </w:t>
      </w:r>
      <w:r w:rsidRPr="00067C4D">
        <w:rPr>
          <w:rFonts w:eastAsia="Arial Unicode MS"/>
          <w:b/>
          <w:color w:val="E36C0A"/>
          <w:spacing w:val="-3"/>
        </w:rPr>
        <w:t xml:space="preserve"> </w:t>
      </w:r>
      <w:r w:rsidR="00A374BF" w:rsidRPr="00067C4D">
        <w:rPr>
          <w:rFonts w:eastAsia="Arial Unicode MS"/>
          <w:b/>
          <w:color w:val="E36C0A"/>
          <w:spacing w:val="-3"/>
        </w:rPr>
        <w:t>Capital Adequacy Ratio</w:t>
      </w:r>
      <w:r w:rsidRPr="00067C4D">
        <w:rPr>
          <w:rFonts w:eastAsia="Arial Unicode MS"/>
          <w:b/>
          <w:color w:val="E36C0A"/>
          <w:spacing w:val="-3"/>
        </w:rPr>
        <w:t xml:space="preserve"> (CAR)</w:t>
      </w:r>
    </w:p>
    <w:p w14:paraId="6A82990C" w14:textId="77777777" w:rsidR="00A374BF" w:rsidRPr="00A340FA" w:rsidRDefault="0021722D" w:rsidP="00A374BF">
      <w:pPr>
        <w:jc w:val="both"/>
        <w:rPr>
          <w:lang w:val="id-ID"/>
        </w:rPr>
      </w:pPr>
      <w:r w:rsidRPr="00A340FA">
        <w:rPr>
          <w:rFonts w:eastAsia="Arial Unicode MS"/>
          <w:color w:val="000000"/>
          <w:spacing w:val="-1"/>
        </w:rPr>
        <w:t>Capital Adequacy Ratio</w:t>
      </w:r>
      <w:r>
        <w:rPr>
          <w:rFonts w:eastAsia="Arial Unicode MS"/>
          <w:color w:val="000000"/>
          <w:spacing w:val="-1"/>
        </w:rPr>
        <w:t xml:space="preserve"> (CAR) </w:t>
      </w:r>
      <w:r w:rsidR="00A374BF" w:rsidRPr="00A374BF">
        <w:rPr>
          <w:rFonts w:eastAsia="Arial Unicode MS"/>
          <w:color w:val="000000"/>
          <w:spacing w:val="-1"/>
        </w:rPr>
        <w:t>is a ratio that measures the adequacy of capital against the risk of bank assets. Cashmere (2013: 286) states that CAR is a ratio showing how far all bank assets that contain risks (inclusion loans, securities, bills with other banks) can be financed from the bank's own capital, in addition to obtaining funds from sources in outside, such as public funds, loans (debt) and others. CAR is an indicator of the bank's ability to cover its decline in assets as a result of bank losses caused by risky assets such as loans.</w:t>
      </w:r>
    </w:p>
    <w:p w14:paraId="2F366370" w14:textId="77777777" w:rsidR="0021722D" w:rsidRDefault="00A374BF" w:rsidP="00A374BF">
      <w:pPr>
        <w:jc w:val="both"/>
        <w:rPr>
          <w:lang w:val="id-ID"/>
        </w:rPr>
      </w:pPr>
      <w:r w:rsidRPr="00A374BF">
        <w:rPr>
          <w:rFonts w:eastAsia="Arial Unicode MS"/>
          <w:color w:val="000000"/>
          <w:spacing w:val="-1"/>
        </w:rPr>
        <w:t xml:space="preserve">     Based on Bank Indonesia regulation, bank capital consists of core capital and complementary capital while ATMR is calculated based on the value of each asset item in the balance sheet multiplied by the weight of each risk. The higher the CAR the better the condition of a bank. Based on Bank Indonesia Regulation Number 15/12 / PBI / 2</w:t>
      </w:r>
      <w:r w:rsidR="00AF131F">
        <w:rPr>
          <w:rFonts w:eastAsia="Arial Unicode MS"/>
          <w:color w:val="000000"/>
          <w:spacing w:val="-1"/>
        </w:rPr>
        <w:t xml:space="preserve">013 concerning the obligation </w:t>
      </w:r>
      <w:r w:rsidR="00AF131F">
        <w:rPr>
          <w:rFonts w:eastAsia="Arial Unicode MS"/>
          <w:color w:val="000000"/>
          <w:spacing w:val="-1"/>
          <w:lang w:val="id-ID"/>
        </w:rPr>
        <w:t>to</w:t>
      </w:r>
      <w:r w:rsidRPr="00A374BF">
        <w:rPr>
          <w:rFonts w:eastAsia="Arial Unicode MS"/>
          <w:color w:val="000000"/>
          <w:spacing w:val="-1"/>
        </w:rPr>
        <w:t xml:space="preserve"> minimum capital provision of commercial banks that sets min</w:t>
      </w:r>
      <w:r w:rsidR="00AF131F">
        <w:rPr>
          <w:rFonts w:eastAsia="Arial Unicode MS"/>
          <w:color w:val="000000"/>
          <w:spacing w:val="-1"/>
        </w:rPr>
        <w:t xml:space="preserve">imum CAR for commercial banks </w:t>
      </w:r>
      <w:r w:rsidR="00AF131F">
        <w:rPr>
          <w:rFonts w:eastAsia="Arial Unicode MS"/>
          <w:color w:val="000000"/>
          <w:spacing w:val="-1"/>
          <w:lang w:val="id-ID"/>
        </w:rPr>
        <w:t>of</w:t>
      </w:r>
      <w:r w:rsidRPr="00A374BF">
        <w:rPr>
          <w:rFonts w:eastAsia="Arial Unicode MS"/>
          <w:color w:val="000000"/>
          <w:spacing w:val="-1"/>
        </w:rPr>
        <w:t xml:space="preserve"> Indonesia is 8%</w:t>
      </w:r>
      <w:r w:rsidR="0021722D" w:rsidRPr="0021722D">
        <w:t>.</w:t>
      </w:r>
    </w:p>
    <w:p w14:paraId="54917FC0" w14:textId="77777777" w:rsidR="003767DA" w:rsidRPr="003767DA" w:rsidRDefault="003767DA" w:rsidP="00A374BF">
      <w:pPr>
        <w:jc w:val="both"/>
        <w:rPr>
          <w:lang w:val="id-ID"/>
        </w:rPr>
      </w:pPr>
    </w:p>
    <w:p w14:paraId="6CDECE33" w14:textId="77777777" w:rsidR="0021722D" w:rsidRPr="00067C4D" w:rsidRDefault="0021722D" w:rsidP="0021722D">
      <w:pPr>
        <w:jc w:val="both"/>
        <w:rPr>
          <w:color w:val="E36C0A"/>
          <w:lang w:val="id-ID"/>
        </w:rPr>
      </w:pPr>
      <w:r w:rsidRPr="00067C4D">
        <w:rPr>
          <w:rFonts w:eastAsia="Times New Roman"/>
          <w:b/>
          <w:i/>
          <w:color w:val="E36C0A"/>
          <w:spacing w:val="-5"/>
          <w:lang w:val="id-ID"/>
        </w:rPr>
        <w:t xml:space="preserve">*    </w:t>
      </w:r>
      <w:r w:rsidRPr="00067C4D">
        <w:rPr>
          <w:b/>
          <w:i/>
          <w:color w:val="E36C0A"/>
          <w:lang w:val="id-ID"/>
        </w:rPr>
        <w:t>Non Performing Loan</w:t>
      </w:r>
      <w:r w:rsidRPr="00067C4D">
        <w:rPr>
          <w:b/>
          <w:color w:val="E36C0A"/>
        </w:rPr>
        <w:t xml:space="preserve"> (</w:t>
      </w:r>
      <w:r w:rsidRPr="00067C4D">
        <w:rPr>
          <w:b/>
          <w:color w:val="E36C0A"/>
          <w:lang w:val="id-ID"/>
        </w:rPr>
        <w:t>NPL</w:t>
      </w:r>
      <w:r w:rsidRPr="00067C4D">
        <w:rPr>
          <w:b/>
          <w:color w:val="E36C0A"/>
        </w:rPr>
        <w:t>)</w:t>
      </w:r>
    </w:p>
    <w:p w14:paraId="3A99787C" w14:textId="77777777" w:rsidR="003767DA" w:rsidRDefault="00A374BF" w:rsidP="00A374BF">
      <w:pPr>
        <w:jc w:val="both"/>
        <w:rPr>
          <w:b/>
          <w:lang w:val="id-ID"/>
        </w:rPr>
      </w:pPr>
      <w:r w:rsidRPr="00A374BF">
        <w:t>Berger and De Young proposed four hypotheses that explain the relationship between cost efficiency and NPLs that have a causal relationship pattern or a two-way relationship pattern. The first hypothesis, the bad luck hypothesis, predicts the external events that can improve the banking NPL and increase operating costs, which ultimately reduce the efficiency of the bank. These additional operating costs arise from a variety of sources including the cost of supervision of troubled borrowers, evaluation of warranties, bonding costs and a guarantee takedown in the event of default. In summary in this hypothesis, an increase in NPL volume leads to a reduction in cost efficiency. The second hypothesis, the bad management hypothesis that low efficiency hypotheses is a signal of poor performance, which affects the guarantee on credit issued. Poor managerial can</w:t>
      </w:r>
      <w:r w:rsidR="00AF131F">
        <w:t xml:space="preserve"> be caused by manager failure </w:t>
      </w:r>
      <w:r w:rsidR="00AF131F">
        <w:rPr>
          <w:lang w:val="id-ID"/>
        </w:rPr>
        <w:t>of</w:t>
      </w:r>
      <w:r w:rsidRPr="00A374BF">
        <w:t xml:space="preserve"> managing loan / loan portfolio, minimum knowledge in credit evaluation and inappropriate resource allocation for credit supervision. This thus increases the volume of NPLs. Therefore, this hypothesis assumed</w:t>
      </w:r>
      <w:r w:rsidR="00AF131F">
        <w:t xml:space="preserve"> the decrease of efficiency ha</w:t>
      </w:r>
      <w:r w:rsidR="00AF131F">
        <w:rPr>
          <w:lang w:val="id-ID"/>
        </w:rPr>
        <w:t>s</w:t>
      </w:r>
      <w:r w:rsidRPr="00A374BF">
        <w:t xml:space="preserve"> a po</w:t>
      </w:r>
      <w:r w:rsidR="00AF131F">
        <w:t xml:space="preserve">sitive effect </w:t>
      </w:r>
      <w:r w:rsidR="00AF131F">
        <w:rPr>
          <w:lang w:val="id-ID"/>
        </w:rPr>
        <w:t>of</w:t>
      </w:r>
      <w:r w:rsidR="00AF131F">
        <w:t xml:space="preserve"> the increase </w:t>
      </w:r>
      <w:r w:rsidR="00AF131F">
        <w:rPr>
          <w:lang w:val="id-ID"/>
        </w:rPr>
        <w:t>in</w:t>
      </w:r>
      <w:r w:rsidRPr="00A374BF">
        <w:t xml:space="preserve"> NPL. The third </w:t>
      </w:r>
      <w:r w:rsidR="00AF131F">
        <w:t>hypothesis is the "skimping hyp</w:t>
      </w:r>
      <w:r w:rsidRPr="00A374BF">
        <w:t>ot</w:t>
      </w:r>
      <w:r w:rsidR="00AF131F">
        <w:rPr>
          <w:lang w:val="id-ID"/>
        </w:rPr>
        <w:t>h</w:t>
      </w:r>
      <w:r w:rsidRPr="00A374BF">
        <w:t>esis" hypothesis which mentions the a</w:t>
      </w:r>
      <w:r w:rsidR="00AF131F">
        <w:t xml:space="preserve">mount of resources allocated </w:t>
      </w:r>
      <w:r w:rsidR="00AF131F">
        <w:rPr>
          <w:lang w:val="id-ID"/>
        </w:rPr>
        <w:t>to</w:t>
      </w:r>
      <w:r w:rsidRPr="00A374BF">
        <w:t xml:space="preserve"> credit evaluation and supervision affecting NPLs and bank efficiency. Managers are </w:t>
      </w:r>
      <w:r w:rsidR="00AF131F">
        <w:t xml:space="preserve">faced with the </w:t>
      </w:r>
      <w:r w:rsidR="00AF131F">
        <w:lastRenderedPageBreak/>
        <w:t xml:space="preserve">choice </w:t>
      </w:r>
      <w:r w:rsidR="00AF131F">
        <w:rPr>
          <w:lang w:val="id-ID"/>
        </w:rPr>
        <w:t>of</w:t>
      </w:r>
      <w:r w:rsidRPr="00A374BF">
        <w:t xml:space="preserve"> av</w:t>
      </w:r>
      <w:r w:rsidR="00AF131F">
        <w:t xml:space="preserve">oiding short-term costs </w:t>
      </w:r>
      <w:r w:rsidR="00AF131F">
        <w:rPr>
          <w:lang w:val="id-ID"/>
        </w:rPr>
        <w:t>of</w:t>
      </w:r>
      <w:r w:rsidRPr="00A374BF">
        <w:t xml:space="preserve"> credit evaluation and supervision to improve profitability, but in the long run will result in increased NPLs. The austerity behavior gives the impression that banks are very efficient in the short term because assessing at a smaller cost can produce the same results, on the one hand the NPL is growing rapidly. Based on this hypothesis, the higher level of efficiency actually increases the amount of NPL. Hypothesis four is a moral hazard hypothesis which m</w:t>
      </w:r>
      <w:r w:rsidR="00AF131F">
        <w:t xml:space="preserve">entions the manager of a bank </w:t>
      </w:r>
      <w:r w:rsidR="00AF131F">
        <w:rPr>
          <w:lang w:val="id-ID"/>
        </w:rPr>
        <w:t>of</w:t>
      </w:r>
      <w:r w:rsidRPr="00A374BF">
        <w:t xml:space="preserve"> a small capital preference fo</w:t>
      </w:r>
      <w:r w:rsidR="00AF131F">
        <w:t xml:space="preserve">r risk, therefore a bank </w:t>
      </w:r>
      <w:r w:rsidR="00AF131F">
        <w:rPr>
          <w:lang w:val="id-ID"/>
        </w:rPr>
        <w:t>of</w:t>
      </w:r>
      <w:r w:rsidRPr="00A374BF">
        <w:t xml:space="preserve"> a small capital can cause an increase in credit problems</w:t>
      </w:r>
      <w:r w:rsidR="0021722D" w:rsidRPr="0021722D">
        <w:t>.</w:t>
      </w:r>
      <w:r w:rsidR="0021722D" w:rsidRPr="0021722D">
        <w:rPr>
          <w:b/>
          <w:lang w:val="id-ID"/>
        </w:rPr>
        <w:t xml:space="preserve"> </w:t>
      </w:r>
    </w:p>
    <w:p w14:paraId="2CAFED90" w14:textId="77777777" w:rsidR="003767DA" w:rsidRDefault="003767DA" w:rsidP="00A374BF">
      <w:pPr>
        <w:jc w:val="both"/>
        <w:rPr>
          <w:i/>
          <w:lang w:val="id-ID"/>
        </w:rPr>
      </w:pPr>
    </w:p>
    <w:p w14:paraId="74396FD9" w14:textId="77777777" w:rsidR="00A374BF" w:rsidRPr="003767DA" w:rsidRDefault="00A374BF" w:rsidP="00A374BF">
      <w:pPr>
        <w:jc w:val="both"/>
        <w:rPr>
          <w:b/>
          <w:lang w:val="id-ID"/>
        </w:rPr>
      </w:pPr>
      <w:r w:rsidRPr="003767DA">
        <w:rPr>
          <w:lang w:val="id-ID"/>
        </w:rPr>
        <w:t>Non Performing Loans (NPLs) or non-performing loans are among the key indicators for assessing bank function performance. One of the functions of the bank is as an intermediary institution or liaison between parties who have excess funds with parties who need funds.</w:t>
      </w:r>
    </w:p>
    <w:p w14:paraId="5A84BD0F" w14:textId="77777777" w:rsidR="003767DA" w:rsidRDefault="003767DA" w:rsidP="00A374BF">
      <w:pPr>
        <w:jc w:val="both"/>
        <w:rPr>
          <w:lang w:val="id-ID"/>
        </w:rPr>
      </w:pPr>
    </w:p>
    <w:p w14:paraId="3155D193" w14:textId="77777777" w:rsidR="0021722D" w:rsidRPr="003767DA" w:rsidRDefault="00A374BF" w:rsidP="00A374BF">
      <w:pPr>
        <w:jc w:val="both"/>
        <w:rPr>
          <w:lang w:val="id-ID"/>
        </w:rPr>
      </w:pPr>
      <w:r w:rsidRPr="003767DA">
        <w:rPr>
          <w:lang w:val="id-ID"/>
        </w:rPr>
        <w:t>The largest income of a bank comes from interest income on loans extended to the community, and</w:t>
      </w:r>
      <w:r w:rsidR="00AF131F" w:rsidRPr="003767DA">
        <w:rPr>
          <w:lang w:val="id-ID"/>
        </w:rPr>
        <w:t xml:space="preserve"> the largest source of funds of</w:t>
      </w:r>
      <w:r w:rsidRPr="003767DA">
        <w:rPr>
          <w:lang w:val="id-ID"/>
        </w:rPr>
        <w:t xml:space="preserve"> a bank also comes from the community in the form of Third Party Funds (DPK), so that the activi</w:t>
      </w:r>
      <w:r w:rsidR="00AF131F" w:rsidRPr="003767DA">
        <w:rPr>
          <w:lang w:val="id-ID"/>
        </w:rPr>
        <w:t>ty of fund raising of people that</w:t>
      </w:r>
      <w:r w:rsidRPr="003767DA">
        <w:rPr>
          <w:lang w:val="id-ID"/>
        </w:rPr>
        <w:t xml:space="preserve"> have excess funds and then channeling the funds back to society in the form of credit is</w:t>
      </w:r>
      <w:r w:rsidR="00AF131F" w:rsidRPr="003767DA">
        <w:rPr>
          <w:lang w:val="id-ID"/>
        </w:rPr>
        <w:t xml:space="preserve"> a major activity or function as</w:t>
      </w:r>
      <w:r w:rsidRPr="003767DA">
        <w:rPr>
          <w:lang w:val="id-ID"/>
        </w:rPr>
        <w:t xml:space="preserve"> a bank</w:t>
      </w:r>
      <w:r w:rsidR="0021722D" w:rsidRPr="003767DA">
        <w:rPr>
          <w:lang w:val="id-ID"/>
        </w:rPr>
        <w:t>.</w:t>
      </w:r>
    </w:p>
    <w:p w14:paraId="4455C82C" w14:textId="77777777" w:rsidR="003767DA" w:rsidRDefault="003767DA" w:rsidP="00A374BF">
      <w:pPr>
        <w:jc w:val="both"/>
        <w:rPr>
          <w:lang w:val="id-ID"/>
        </w:rPr>
      </w:pPr>
      <w:r>
        <w:t xml:space="preserve"> </w:t>
      </w:r>
    </w:p>
    <w:p w14:paraId="29ED1CAC" w14:textId="77777777" w:rsidR="00A374BF" w:rsidRDefault="00A374BF" w:rsidP="00A374BF">
      <w:pPr>
        <w:jc w:val="both"/>
      </w:pPr>
      <w:r>
        <w:t>Loans given to the community are not without risk of failure or loss. Bank Indonesia (BI) through Indonesian Banking Regulation (PBI) stipulates that the ratio of non performing loans (NPLs) is based on the ratio of total NPL with total credit with a maximum amount of 5%. For example, a bank experiencing a non-performing loan of 50 with a total credit of 1000, then the bank's NPL ratio is 5% (50/1000 = 0.05).</w:t>
      </w:r>
    </w:p>
    <w:p w14:paraId="0871C06A" w14:textId="77777777" w:rsidR="003767DA" w:rsidRDefault="003767DA" w:rsidP="00A374BF">
      <w:pPr>
        <w:jc w:val="both"/>
        <w:rPr>
          <w:lang w:val="id-ID"/>
        </w:rPr>
      </w:pPr>
    </w:p>
    <w:p w14:paraId="0EEF5264" w14:textId="77777777" w:rsidR="0021722D" w:rsidRPr="0021722D" w:rsidRDefault="00A374BF" w:rsidP="00A374BF">
      <w:pPr>
        <w:jc w:val="both"/>
        <w:rPr>
          <w:lang w:val="id-ID"/>
        </w:rPr>
      </w:pPr>
      <w:r>
        <w:t xml:space="preserve"> While in NK is calculated based on the amount of CKPN (Provision for Impairment Losses) in accordance with Bank Indonesia Circular Letter Number 11/33 / DPNP effective January 1, 2010.CKPN is an allowance established if the carrying amount of credit after impairment is less than the value recorded early (PAPI, 2008). CKPN is the amount der</w:t>
      </w:r>
      <w:r w:rsidR="00AF131F">
        <w:t xml:space="preserve">ived from the carrying amount </w:t>
      </w:r>
      <w:r w:rsidR="00AF131F">
        <w:rPr>
          <w:lang w:val="id-ID"/>
        </w:rPr>
        <w:t>of</w:t>
      </w:r>
      <w:r>
        <w:t xml:space="preserve"> to the amount recoverable from the assets (Febriati, 2013). CKPN is a special reserve fund set up by banks to cope with uncollectible credit risk. Establishment of CKPN funds based on credit rating by banks. A credit assessment is the process of establishing a single quantitative measure or score for a borrower through a predicted borrower's loan perfor</w:t>
      </w:r>
      <w:r w:rsidR="00AF131F">
        <w:t>mance in the future. Guidance o</w:t>
      </w:r>
      <w:r w:rsidR="00AF131F">
        <w:rPr>
          <w:lang w:val="id-ID"/>
        </w:rPr>
        <w:t>f</w:t>
      </w:r>
      <w:r>
        <w:t xml:space="preserve"> the recognition and measurement of CKPN used by banks is the Accounting Guidelines of Indonesian Banking (PAPI) 2008 which has been referring to PSAK 55 </w:t>
      </w:r>
      <w:r w:rsidR="00AF131F">
        <w:t xml:space="preserve">revision 2011. So the formula </w:t>
      </w:r>
      <w:r w:rsidR="00AF131F">
        <w:rPr>
          <w:lang w:val="id-ID"/>
        </w:rPr>
        <w:t>for</w:t>
      </w:r>
      <w:r>
        <w:t xml:space="preserve"> calculation of NPL used by the author is the percentage comparison of total CKPN with total credit</w:t>
      </w:r>
      <w:r w:rsidR="0021722D" w:rsidRPr="0021722D">
        <w:rPr>
          <w:lang w:val="id-ID"/>
        </w:rPr>
        <w:t>.</w:t>
      </w:r>
      <w:r w:rsidR="0021722D">
        <w:rPr>
          <w:lang w:val="id-ID"/>
        </w:rPr>
        <w:t xml:space="preserve"> </w:t>
      </w:r>
    </w:p>
    <w:p w14:paraId="0E387C6E" w14:textId="77777777" w:rsidR="003767DA" w:rsidRDefault="003767DA" w:rsidP="0021722D">
      <w:pPr>
        <w:jc w:val="both"/>
        <w:rPr>
          <w:lang w:val="id-ID"/>
        </w:rPr>
      </w:pPr>
    </w:p>
    <w:p w14:paraId="280A40FC" w14:textId="77777777" w:rsidR="00C7310B" w:rsidRPr="00067C4D" w:rsidRDefault="0021722D" w:rsidP="0021722D">
      <w:pPr>
        <w:jc w:val="both"/>
        <w:rPr>
          <w:color w:val="E36C0A"/>
        </w:rPr>
      </w:pPr>
      <w:r w:rsidRPr="00067C4D">
        <w:rPr>
          <w:color w:val="E36C0A"/>
        </w:rPr>
        <w:t xml:space="preserve">* </w:t>
      </w:r>
      <w:r w:rsidR="00A374BF" w:rsidRPr="00067C4D">
        <w:rPr>
          <w:rFonts w:eastAsia="Arial Unicode MS"/>
          <w:b/>
          <w:color w:val="E36C0A"/>
          <w:spacing w:val="-3"/>
        </w:rPr>
        <w:t>Loan Amount Ratio</w:t>
      </w:r>
      <w:r w:rsidRPr="00067C4D">
        <w:rPr>
          <w:rFonts w:eastAsia="Arial Unicode MS"/>
          <w:b/>
          <w:color w:val="E36C0A"/>
          <w:spacing w:val="-3"/>
          <w:lang w:val="id-ID"/>
        </w:rPr>
        <w:t xml:space="preserve"> / </w:t>
      </w:r>
      <w:r w:rsidRPr="00067C4D">
        <w:rPr>
          <w:rFonts w:eastAsia="Arial Unicode MS"/>
          <w:b/>
          <w:i/>
          <w:color w:val="E36C0A"/>
          <w:spacing w:val="-3"/>
          <w:lang w:val="id-ID"/>
        </w:rPr>
        <w:t xml:space="preserve">Bank Loan </w:t>
      </w:r>
      <w:r w:rsidRPr="00067C4D">
        <w:rPr>
          <w:rFonts w:eastAsia="Arial Unicode MS"/>
          <w:b/>
          <w:color w:val="E36C0A"/>
          <w:spacing w:val="-3"/>
        </w:rPr>
        <w:t>(LDR)</w:t>
      </w:r>
    </w:p>
    <w:p w14:paraId="2C6BBFCA" w14:textId="77777777" w:rsidR="006524A8" w:rsidRPr="0021722D" w:rsidRDefault="00A374BF" w:rsidP="0021722D">
      <w:pPr>
        <w:jc w:val="both"/>
        <w:rPr>
          <w:lang w:val="id-ID"/>
        </w:rPr>
      </w:pPr>
      <w:r w:rsidRPr="00A374BF">
        <w:rPr>
          <w:color w:val="000000"/>
          <w:spacing w:val="-1"/>
        </w:rPr>
        <w:t>LDR is the ratio used to see the size of credit and bank liquidity, this ratio measures the composition of the loan amount given compared to the amount of third party funds received by the bank. There are six known loan loan theories, namely</w:t>
      </w:r>
      <w:r w:rsidR="006524A8">
        <w:rPr>
          <w:color w:val="000000"/>
          <w:w w:val="103"/>
        </w:rPr>
        <w:t xml:space="preserve"> :</w:t>
      </w:r>
    </w:p>
    <w:p w14:paraId="3CA983B9" w14:textId="77777777" w:rsidR="006524A8" w:rsidRPr="003767DA" w:rsidRDefault="006524A8" w:rsidP="003767DA">
      <w:pPr>
        <w:numPr>
          <w:ilvl w:val="0"/>
          <w:numId w:val="16"/>
        </w:numPr>
        <w:ind w:left="426" w:hanging="426"/>
        <w:jc w:val="both"/>
      </w:pPr>
      <w:r w:rsidRPr="003767DA">
        <w:rPr>
          <w:b/>
        </w:rPr>
        <w:t>Loan Pricing Theory</w:t>
      </w:r>
    </w:p>
    <w:p w14:paraId="4E2F13CB" w14:textId="77777777" w:rsidR="006A4D7B" w:rsidRPr="006524A8" w:rsidRDefault="003767DA" w:rsidP="003767DA">
      <w:pPr>
        <w:ind w:left="426" w:hanging="426"/>
        <w:jc w:val="both"/>
      </w:pPr>
      <w:r>
        <w:t xml:space="preserve">        </w:t>
      </w:r>
      <w:r w:rsidR="00A374BF" w:rsidRPr="00A374BF">
        <w:t>Banks are not always able to set high interest rates on loans. The bank must consider the issue of adverse selection and moral hazard because at the beginning of the meeting it is very difficult to judge the character of the borrower (Stiglitz &amp; Weiss, 1981). If the bank sets the interest rate on the loan too high it will cause adverse selection issues because the risk-averse type of borrower will receive the high interest rate on the loan. When this type of borrower accepts loans it can lead to moral hazard as they tend to invest in high-risk projects (Olokoyo, 2011). Based on the thinking of Stiglitz and Weiss, we do not raise the interest rate on loans is appropriate when considering the risks faced by the borrower</w:t>
      </w:r>
      <w:r w:rsidR="006524A8" w:rsidRPr="006524A8">
        <w:t>.</w:t>
      </w:r>
    </w:p>
    <w:p w14:paraId="7F172670" w14:textId="77777777" w:rsidR="003767DA" w:rsidRPr="003767DA" w:rsidRDefault="006A4D7B" w:rsidP="003767DA">
      <w:pPr>
        <w:pStyle w:val="ListParagraph"/>
        <w:widowControl w:val="0"/>
        <w:numPr>
          <w:ilvl w:val="0"/>
          <w:numId w:val="16"/>
        </w:numPr>
        <w:autoSpaceDE w:val="0"/>
        <w:autoSpaceDN w:val="0"/>
        <w:adjustRightInd w:val="0"/>
        <w:spacing w:before="36" w:after="200"/>
        <w:ind w:left="426" w:hanging="426"/>
        <w:jc w:val="both"/>
        <w:rPr>
          <w:color w:val="000000"/>
          <w:w w:val="103"/>
        </w:rPr>
      </w:pPr>
      <w:r w:rsidRPr="003767DA">
        <w:rPr>
          <w:b/>
          <w:color w:val="000000"/>
          <w:w w:val="103"/>
        </w:rPr>
        <w:t>Credit market theory</w:t>
      </w:r>
    </w:p>
    <w:p w14:paraId="362A92C5" w14:textId="77777777" w:rsidR="006A4D7B" w:rsidRPr="003767DA" w:rsidRDefault="00A374BF" w:rsidP="003767DA">
      <w:pPr>
        <w:pStyle w:val="ListParagraph"/>
        <w:widowControl w:val="0"/>
        <w:autoSpaceDE w:val="0"/>
        <w:autoSpaceDN w:val="0"/>
        <w:adjustRightInd w:val="0"/>
        <w:spacing w:before="36" w:after="200"/>
        <w:ind w:left="426"/>
        <w:jc w:val="both"/>
        <w:rPr>
          <w:color w:val="000000"/>
          <w:w w:val="103"/>
        </w:rPr>
      </w:pPr>
      <w:r w:rsidRPr="003767DA">
        <w:rPr>
          <w:color w:val="000000"/>
          <w:w w:val="103"/>
        </w:rPr>
        <w:t xml:space="preserve">The model of the neo-classical credit market is the basis of credit terms. If the warranties and </w:t>
      </w:r>
      <w:r w:rsidRPr="003767DA">
        <w:rPr>
          <w:color w:val="000000"/>
          <w:w w:val="103"/>
        </w:rPr>
        <w:lastRenderedPageBreak/>
        <w:t>agreements do not change then the interest rate becomes the only price mechanism. When demand for credit increases while fixed credit offerings then the interest rate will rise, and vice versa. Likewise, if it is believed that the level of business risk faced by the borrower is higher then it will be subject to higher interest rate (Ewert, Szczesmy &amp; Schenk, 2000)</w:t>
      </w:r>
      <w:r w:rsidR="006A4D7B" w:rsidRPr="003767DA">
        <w:rPr>
          <w:color w:val="000000"/>
          <w:w w:val="103"/>
        </w:rPr>
        <w:t>.</w:t>
      </w:r>
    </w:p>
    <w:p w14:paraId="1A4D619E" w14:textId="77777777" w:rsidR="00535FCB" w:rsidRDefault="00535FCB" w:rsidP="003767DA">
      <w:pPr>
        <w:pStyle w:val="ListParagraph"/>
        <w:widowControl w:val="0"/>
        <w:numPr>
          <w:ilvl w:val="0"/>
          <w:numId w:val="16"/>
        </w:numPr>
        <w:autoSpaceDE w:val="0"/>
        <w:autoSpaceDN w:val="0"/>
        <w:adjustRightInd w:val="0"/>
        <w:spacing w:before="36" w:after="200"/>
        <w:ind w:left="426" w:hanging="426"/>
        <w:jc w:val="both"/>
        <w:rPr>
          <w:b/>
          <w:i/>
          <w:color w:val="000000"/>
          <w:w w:val="103"/>
        </w:rPr>
      </w:pPr>
      <w:r w:rsidRPr="00535FCB">
        <w:rPr>
          <w:b/>
          <w:i/>
          <w:color w:val="000000"/>
          <w:w w:val="103"/>
        </w:rPr>
        <w:t>Commercial Loan Theory</w:t>
      </w:r>
    </w:p>
    <w:p w14:paraId="25A699E8" w14:textId="77777777" w:rsidR="00535FCB" w:rsidRDefault="00A374BF" w:rsidP="003767DA">
      <w:pPr>
        <w:pStyle w:val="ListParagraph"/>
        <w:widowControl w:val="0"/>
        <w:autoSpaceDE w:val="0"/>
        <w:autoSpaceDN w:val="0"/>
        <w:adjustRightInd w:val="0"/>
        <w:spacing w:before="36"/>
        <w:ind w:left="426"/>
        <w:jc w:val="both"/>
        <w:rPr>
          <w:color w:val="000000"/>
          <w:w w:val="103"/>
        </w:rPr>
      </w:pPr>
      <w:r w:rsidRPr="00A374BF">
        <w:rPr>
          <w:color w:val="000000"/>
          <w:w w:val="103"/>
        </w:rPr>
        <w:t>This theory is considered the most ancient, another name of this theory is the real bills doctrine. This theory began to be known about 2 centuries ago. The study of this theory was carried out by Adam Smith in his famous book The Wealth of Nation published in 1776 (in the Online Library of Liberty, 1981). This theory assumes that banks can only provide loans with short-term trading letters that can be withdrawn by itself (self liquiditing). Self Liquiditing means lending has a meaning for repayment</w:t>
      </w:r>
      <w:r w:rsidR="00535FCB">
        <w:rPr>
          <w:color w:val="000000"/>
          <w:w w:val="103"/>
        </w:rPr>
        <w:t>.</w:t>
      </w:r>
    </w:p>
    <w:p w14:paraId="036B12E8" w14:textId="77777777" w:rsidR="00535FCB" w:rsidRPr="00535FCB" w:rsidRDefault="00535FCB" w:rsidP="003767DA">
      <w:pPr>
        <w:pStyle w:val="ListParagraph"/>
        <w:widowControl w:val="0"/>
        <w:numPr>
          <w:ilvl w:val="0"/>
          <w:numId w:val="16"/>
        </w:numPr>
        <w:autoSpaceDE w:val="0"/>
        <w:autoSpaceDN w:val="0"/>
        <w:adjustRightInd w:val="0"/>
        <w:spacing w:before="36" w:after="200"/>
        <w:ind w:left="426" w:hanging="426"/>
        <w:jc w:val="both"/>
        <w:rPr>
          <w:color w:val="000000"/>
          <w:w w:val="103"/>
        </w:rPr>
      </w:pPr>
      <w:r w:rsidRPr="00535FCB">
        <w:rPr>
          <w:b/>
          <w:i/>
          <w:color w:val="000000"/>
          <w:w w:val="103"/>
        </w:rPr>
        <w:t>Shiftability Theory</w:t>
      </w:r>
    </w:p>
    <w:p w14:paraId="3DC0F58B" w14:textId="77777777" w:rsidR="00535FCB" w:rsidRPr="00535FCB" w:rsidRDefault="00D54D34" w:rsidP="003767DA">
      <w:pPr>
        <w:pStyle w:val="ListParagraph"/>
        <w:widowControl w:val="0"/>
        <w:autoSpaceDE w:val="0"/>
        <w:autoSpaceDN w:val="0"/>
        <w:adjustRightInd w:val="0"/>
        <w:spacing w:before="36" w:after="200"/>
        <w:ind w:left="426"/>
        <w:jc w:val="both"/>
        <w:rPr>
          <w:color w:val="000000"/>
          <w:w w:val="103"/>
        </w:rPr>
      </w:pPr>
      <w:r>
        <w:rPr>
          <w:color w:val="000000"/>
          <w:w w:val="103"/>
        </w:rPr>
        <w:t>The shif</w:t>
      </w:r>
      <w:r w:rsidR="00A374BF" w:rsidRPr="00A374BF">
        <w:rPr>
          <w:color w:val="000000"/>
          <w:w w:val="103"/>
        </w:rPr>
        <w:t>ty theory pioneered by Moulton (1918) is the theory of displaced assets and this theory assumes that the liquidity of a bank depends on the ability of the bank to transfer its assets to others at a predictable price, f</w:t>
      </w:r>
      <w:r w:rsidR="00340DE8">
        <w:rPr>
          <w:color w:val="000000"/>
          <w:w w:val="103"/>
        </w:rPr>
        <w:t xml:space="preserve">or example, it is acceptable </w:t>
      </w:r>
      <w:r w:rsidR="00340DE8">
        <w:rPr>
          <w:color w:val="000000"/>
          <w:w w:val="103"/>
          <w:lang w:val="id-ID"/>
        </w:rPr>
        <w:t>to</w:t>
      </w:r>
      <w:r w:rsidR="00A374BF" w:rsidRPr="00A374BF">
        <w:rPr>
          <w:color w:val="000000"/>
          <w:w w:val="103"/>
        </w:rPr>
        <w:t xml:space="preserve"> banks to invest in </w:t>
      </w:r>
      <w:r w:rsidR="00340DE8">
        <w:rPr>
          <w:color w:val="000000"/>
          <w:w w:val="103"/>
          <w:lang w:val="id-ID"/>
        </w:rPr>
        <w:t xml:space="preserve">the </w:t>
      </w:r>
      <w:r w:rsidR="00A374BF" w:rsidRPr="00A374BF">
        <w:rPr>
          <w:color w:val="000000"/>
          <w:w w:val="103"/>
        </w:rPr>
        <w:t>open markets short term in its asset portfolio. If under the conditions of the depositor wants to withdraw the funds then the bank only sells the investment and pays to the depositor</w:t>
      </w:r>
      <w:r w:rsidR="00535FCB" w:rsidRPr="00535FCB">
        <w:rPr>
          <w:color w:val="000000"/>
          <w:w w:val="103"/>
        </w:rPr>
        <w:t>.</w:t>
      </w:r>
    </w:p>
    <w:p w14:paraId="2E98B63B" w14:textId="77777777" w:rsidR="00535FCB" w:rsidRPr="00535FCB" w:rsidRDefault="00535FCB" w:rsidP="003767DA">
      <w:pPr>
        <w:pStyle w:val="ListParagraph"/>
        <w:widowControl w:val="0"/>
        <w:numPr>
          <w:ilvl w:val="0"/>
          <w:numId w:val="16"/>
        </w:numPr>
        <w:autoSpaceDE w:val="0"/>
        <w:autoSpaceDN w:val="0"/>
        <w:adjustRightInd w:val="0"/>
        <w:spacing w:before="36" w:after="200"/>
        <w:ind w:left="426" w:hanging="426"/>
        <w:jc w:val="both"/>
        <w:rPr>
          <w:b/>
          <w:i/>
          <w:color w:val="000000"/>
          <w:w w:val="103"/>
        </w:rPr>
      </w:pPr>
      <w:r w:rsidRPr="00535FCB">
        <w:rPr>
          <w:b/>
          <w:i/>
          <w:color w:val="000000"/>
          <w:w w:val="103"/>
        </w:rPr>
        <w:t xml:space="preserve">Anticipated Income Theory </w:t>
      </w:r>
    </w:p>
    <w:p w14:paraId="3393BC04" w14:textId="77777777" w:rsidR="00535FCB" w:rsidRDefault="00A374BF" w:rsidP="003767DA">
      <w:pPr>
        <w:pStyle w:val="ListParagraph"/>
        <w:widowControl w:val="0"/>
        <w:autoSpaceDE w:val="0"/>
        <w:autoSpaceDN w:val="0"/>
        <w:adjustRightInd w:val="0"/>
        <w:spacing w:before="36"/>
        <w:ind w:left="426"/>
        <w:jc w:val="both"/>
        <w:rPr>
          <w:color w:val="000000"/>
          <w:w w:val="103"/>
        </w:rPr>
      </w:pPr>
      <w:r w:rsidRPr="00A374BF">
        <w:rPr>
          <w:color w:val="000000"/>
          <w:w w:val="103"/>
        </w:rPr>
        <w:t>In the 1930s and 1940s, banks developed a new theory called anticipated income theory. This theory explains that each bank should be able to provide long-term credit in which the repayment of principal repayments plus interest can be expected and scheduled payments in the future in accordance with a predetermined period of time. Customer repayment schedule in the form of principal and interest installments will provide cash flow on a regular basis that can be used to meet bank liquidity needs</w:t>
      </w:r>
      <w:r w:rsidR="00535FCB" w:rsidRPr="00535FCB">
        <w:rPr>
          <w:color w:val="000000"/>
          <w:w w:val="103"/>
        </w:rPr>
        <w:t xml:space="preserve">. </w:t>
      </w:r>
    </w:p>
    <w:p w14:paraId="45A0C357" w14:textId="77777777" w:rsidR="00B1683F" w:rsidRPr="003767DA" w:rsidRDefault="00B1683F" w:rsidP="003767DA">
      <w:pPr>
        <w:pStyle w:val="ListParagraph"/>
        <w:widowControl w:val="0"/>
        <w:numPr>
          <w:ilvl w:val="0"/>
          <w:numId w:val="16"/>
        </w:numPr>
        <w:autoSpaceDE w:val="0"/>
        <w:autoSpaceDN w:val="0"/>
        <w:adjustRightInd w:val="0"/>
        <w:spacing w:before="36" w:after="200"/>
        <w:ind w:left="426" w:hanging="426"/>
        <w:jc w:val="both"/>
        <w:rPr>
          <w:b/>
          <w:color w:val="000000"/>
          <w:w w:val="103"/>
        </w:rPr>
      </w:pPr>
      <w:r w:rsidRPr="003767DA">
        <w:rPr>
          <w:b/>
          <w:color w:val="000000"/>
          <w:w w:val="103"/>
        </w:rPr>
        <w:t>The Liability Management Theory</w:t>
      </w:r>
    </w:p>
    <w:p w14:paraId="4372AAEF" w14:textId="77777777" w:rsidR="00B1683F" w:rsidRDefault="00A374BF" w:rsidP="003767DA">
      <w:pPr>
        <w:pStyle w:val="ListParagraph"/>
        <w:widowControl w:val="0"/>
        <w:autoSpaceDE w:val="0"/>
        <w:autoSpaceDN w:val="0"/>
        <w:adjustRightInd w:val="0"/>
        <w:spacing w:before="36"/>
        <w:ind w:left="426"/>
        <w:jc w:val="both"/>
        <w:rPr>
          <w:color w:val="000000"/>
          <w:w w:val="103"/>
        </w:rPr>
      </w:pPr>
      <w:r w:rsidRPr="00A374BF">
        <w:rPr>
          <w:color w:val="000000"/>
          <w:w w:val="103"/>
        </w:rPr>
        <w:t xml:space="preserve">The purpose of this theory is how banks can manage their </w:t>
      </w:r>
      <w:r w:rsidRPr="00340DE8">
        <w:rPr>
          <w:color w:val="FF0000"/>
          <w:w w:val="103"/>
        </w:rPr>
        <w:t>pasivanya</w:t>
      </w:r>
      <w:r w:rsidRPr="00A374BF">
        <w:rPr>
          <w:color w:val="000000"/>
          <w:w w:val="103"/>
        </w:rPr>
        <w:t xml:space="preserve"> to be used as a source of liquidity (Kannan, 1996). The liquidity required for the bank is</w:t>
      </w:r>
      <w:r w:rsidR="00B1683F">
        <w:rPr>
          <w:color w:val="000000"/>
          <w:w w:val="103"/>
        </w:rPr>
        <w:t xml:space="preserve"> :</w:t>
      </w:r>
    </w:p>
    <w:p w14:paraId="211473DC" w14:textId="77777777" w:rsidR="00A374BF" w:rsidRPr="00A374BF" w:rsidRDefault="00A374BF" w:rsidP="003767DA">
      <w:pPr>
        <w:pStyle w:val="ListParagraph"/>
        <w:widowControl w:val="0"/>
        <w:numPr>
          <w:ilvl w:val="0"/>
          <w:numId w:val="19"/>
        </w:numPr>
        <w:autoSpaceDE w:val="0"/>
        <w:autoSpaceDN w:val="0"/>
        <w:adjustRightInd w:val="0"/>
        <w:spacing w:before="36" w:after="200"/>
        <w:ind w:left="426" w:firstLine="0"/>
        <w:jc w:val="both"/>
        <w:rPr>
          <w:color w:val="000000"/>
          <w:w w:val="103"/>
        </w:rPr>
      </w:pPr>
      <w:r w:rsidRPr="00A374BF">
        <w:rPr>
          <w:color w:val="000000"/>
          <w:w w:val="103"/>
        </w:rPr>
        <w:t>To face withdrawal by the customer.</w:t>
      </w:r>
    </w:p>
    <w:p w14:paraId="28AD7B04" w14:textId="77777777" w:rsidR="00A374BF" w:rsidRPr="00A374BF" w:rsidRDefault="00340DE8" w:rsidP="003767DA">
      <w:pPr>
        <w:pStyle w:val="ListParagraph"/>
        <w:widowControl w:val="0"/>
        <w:numPr>
          <w:ilvl w:val="0"/>
          <w:numId w:val="19"/>
        </w:numPr>
        <w:autoSpaceDE w:val="0"/>
        <w:autoSpaceDN w:val="0"/>
        <w:adjustRightInd w:val="0"/>
        <w:spacing w:before="36" w:after="200"/>
        <w:ind w:left="426" w:firstLine="0"/>
        <w:jc w:val="both"/>
        <w:rPr>
          <w:color w:val="000000"/>
          <w:w w:val="103"/>
        </w:rPr>
      </w:pPr>
      <w:r>
        <w:rPr>
          <w:color w:val="000000"/>
          <w:w w:val="103"/>
        </w:rPr>
        <w:t xml:space="preserve">Meet the obligations </w:t>
      </w:r>
      <w:r>
        <w:rPr>
          <w:color w:val="000000"/>
          <w:w w:val="103"/>
          <w:lang w:val="id-ID"/>
        </w:rPr>
        <w:t>to</w:t>
      </w:r>
      <w:r w:rsidR="00A374BF" w:rsidRPr="00A374BF">
        <w:rPr>
          <w:color w:val="000000"/>
          <w:w w:val="103"/>
        </w:rPr>
        <w:t xml:space="preserve"> the bank due.</w:t>
      </w:r>
    </w:p>
    <w:p w14:paraId="225515DB" w14:textId="77777777" w:rsidR="00B1683F" w:rsidRPr="00B1683F" w:rsidRDefault="00A374BF" w:rsidP="003767DA">
      <w:pPr>
        <w:pStyle w:val="ListParagraph"/>
        <w:widowControl w:val="0"/>
        <w:numPr>
          <w:ilvl w:val="0"/>
          <w:numId w:val="19"/>
        </w:numPr>
        <w:autoSpaceDE w:val="0"/>
        <w:autoSpaceDN w:val="0"/>
        <w:adjustRightInd w:val="0"/>
        <w:spacing w:before="36" w:after="200"/>
        <w:ind w:left="426" w:firstLine="0"/>
        <w:jc w:val="both"/>
        <w:rPr>
          <w:color w:val="000000"/>
          <w:spacing w:val="-3"/>
        </w:rPr>
      </w:pPr>
      <w:r w:rsidRPr="00A374BF">
        <w:rPr>
          <w:color w:val="000000"/>
          <w:w w:val="103"/>
        </w:rPr>
        <w:t>Meet customer loan</w:t>
      </w:r>
      <w:r w:rsidR="00340DE8">
        <w:rPr>
          <w:color w:val="000000"/>
          <w:w w:val="103"/>
          <w:lang w:val="id-ID"/>
        </w:rPr>
        <w:t xml:space="preserve">s to </w:t>
      </w:r>
      <w:r w:rsidRPr="00A374BF">
        <w:rPr>
          <w:color w:val="000000"/>
          <w:w w:val="103"/>
        </w:rPr>
        <w:t xml:space="preserve"> demand</w:t>
      </w:r>
      <w:r w:rsidR="00B1683F" w:rsidRPr="00B1683F">
        <w:rPr>
          <w:color w:val="000000"/>
          <w:w w:val="103"/>
        </w:rPr>
        <w:t>.</w:t>
      </w:r>
    </w:p>
    <w:p w14:paraId="35343E63" w14:textId="77777777" w:rsidR="003767DA" w:rsidRDefault="00B1683F" w:rsidP="008407D5">
      <w:pPr>
        <w:pStyle w:val="ListParagraph"/>
        <w:widowControl w:val="0"/>
        <w:autoSpaceDE w:val="0"/>
        <w:autoSpaceDN w:val="0"/>
        <w:adjustRightInd w:val="0"/>
        <w:spacing w:before="36" w:after="200"/>
        <w:ind w:left="0"/>
        <w:jc w:val="both"/>
        <w:rPr>
          <w:color w:val="000000"/>
          <w:w w:val="103"/>
          <w:lang w:val="id-ID"/>
        </w:rPr>
      </w:pPr>
      <w:r>
        <w:rPr>
          <w:color w:val="000000"/>
          <w:w w:val="103"/>
        </w:rPr>
        <w:t xml:space="preserve">     </w:t>
      </w:r>
    </w:p>
    <w:p w14:paraId="304A2EE9" w14:textId="77777777" w:rsidR="008407D5" w:rsidRDefault="00B1683F" w:rsidP="008407D5">
      <w:pPr>
        <w:pStyle w:val="ListParagraph"/>
        <w:widowControl w:val="0"/>
        <w:autoSpaceDE w:val="0"/>
        <w:autoSpaceDN w:val="0"/>
        <w:adjustRightInd w:val="0"/>
        <w:spacing w:before="36" w:after="200"/>
        <w:ind w:left="0"/>
        <w:jc w:val="both"/>
        <w:rPr>
          <w:color w:val="000000"/>
          <w:spacing w:val="-3"/>
          <w:lang w:val="id-ID"/>
        </w:rPr>
      </w:pPr>
      <w:r>
        <w:rPr>
          <w:color w:val="000000"/>
          <w:w w:val="103"/>
        </w:rPr>
        <w:t xml:space="preserve"> </w:t>
      </w:r>
      <w:r w:rsidR="00A374BF" w:rsidRPr="00A374BF">
        <w:rPr>
          <w:color w:val="000000"/>
          <w:w w:val="103"/>
        </w:rPr>
        <w:t>LDR can also be used to assess bank management strategies. Conservative bank management usually has a relatively low LDR, whereas if the LDR exceeds the tolerance limit</w:t>
      </w:r>
      <w:r w:rsidR="00340DE8">
        <w:rPr>
          <w:color w:val="000000"/>
          <w:w w:val="103"/>
          <w:lang w:val="id-ID"/>
        </w:rPr>
        <w:t>s</w:t>
      </w:r>
      <w:r w:rsidR="00A374BF" w:rsidRPr="00A374BF">
        <w:rPr>
          <w:color w:val="000000"/>
          <w:w w:val="103"/>
        </w:rPr>
        <w:t xml:space="preserve"> it is said that bank management is very expansive / aggressive. The higher the ratio gives an indication of the lower bank liquidity capability in question, due to the amount of funds needed to finance the credit becomes larger. This ratio is also an indicator of vulnerability and ability of a bank. T</w:t>
      </w:r>
      <w:r w:rsidR="00340DE8">
        <w:rPr>
          <w:color w:val="000000"/>
          <w:w w:val="103"/>
        </w:rPr>
        <w:t xml:space="preserve">he safe limit of a bank's LDR </w:t>
      </w:r>
      <w:r w:rsidR="00340DE8">
        <w:rPr>
          <w:color w:val="000000"/>
          <w:w w:val="103"/>
          <w:lang w:val="id-ID"/>
        </w:rPr>
        <w:t>are</w:t>
      </w:r>
      <w:r w:rsidR="00A374BF" w:rsidRPr="00A374BF">
        <w:rPr>
          <w:color w:val="000000"/>
          <w:w w:val="103"/>
        </w:rPr>
        <w:t xml:space="preserve"> about 80% with tolerance limits ranging between 85% and 100% (Dendawijaya, 2009: 116)</w:t>
      </w:r>
      <w:r w:rsidRPr="00B1683F">
        <w:rPr>
          <w:color w:val="000000"/>
          <w:spacing w:val="-3"/>
        </w:rPr>
        <w:t>.</w:t>
      </w:r>
    </w:p>
    <w:p w14:paraId="28F67D68" w14:textId="77777777" w:rsidR="003767DA" w:rsidRPr="003767DA" w:rsidRDefault="003767DA" w:rsidP="008407D5">
      <w:pPr>
        <w:pStyle w:val="ListParagraph"/>
        <w:widowControl w:val="0"/>
        <w:autoSpaceDE w:val="0"/>
        <w:autoSpaceDN w:val="0"/>
        <w:adjustRightInd w:val="0"/>
        <w:spacing w:before="36" w:after="200"/>
        <w:ind w:left="0"/>
        <w:jc w:val="both"/>
        <w:rPr>
          <w:b/>
          <w:lang w:val="id-ID"/>
        </w:rPr>
      </w:pPr>
    </w:p>
    <w:p w14:paraId="1335D3AE" w14:textId="77777777" w:rsidR="008407D5" w:rsidRPr="00067C4D" w:rsidRDefault="00FB6170" w:rsidP="008407D5">
      <w:pPr>
        <w:pStyle w:val="ListParagraph"/>
        <w:widowControl w:val="0"/>
        <w:autoSpaceDE w:val="0"/>
        <w:autoSpaceDN w:val="0"/>
        <w:adjustRightInd w:val="0"/>
        <w:spacing w:before="36" w:after="200"/>
        <w:ind w:left="540" w:hanging="540"/>
        <w:jc w:val="both"/>
        <w:rPr>
          <w:color w:val="E36C0A"/>
          <w:lang w:val="id-ID" w:eastAsia="id-ID"/>
        </w:rPr>
      </w:pPr>
      <w:r w:rsidRPr="00FB6170">
        <w:rPr>
          <w:b/>
          <w:lang w:val="id-ID"/>
        </w:rPr>
        <w:t>*</w:t>
      </w:r>
      <w:r>
        <w:rPr>
          <w:b/>
          <w:lang w:val="id-ID"/>
        </w:rPr>
        <w:t xml:space="preserve"> </w:t>
      </w:r>
      <w:r w:rsidR="00551B05" w:rsidRPr="00067C4D">
        <w:rPr>
          <w:b/>
          <w:color w:val="E36C0A"/>
          <w:lang w:val="id-ID"/>
        </w:rPr>
        <w:t>Operational Cost Operating Income</w:t>
      </w:r>
      <w:r w:rsidRPr="00067C4D">
        <w:rPr>
          <w:b/>
          <w:color w:val="E36C0A"/>
          <w:lang w:val="id-ID"/>
        </w:rPr>
        <w:t xml:space="preserve"> (BOPO)</w:t>
      </w:r>
    </w:p>
    <w:p w14:paraId="130665F9" w14:textId="77777777" w:rsidR="008407D5" w:rsidRDefault="00551B05" w:rsidP="008407D5">
      <w:pPr>
        <w:pStyle w:val="ListParagraph"/>
        <w:widowControl w:val="0"/>
        <w:autoSpaceDE w:val="0"/>
        <w:autoSpaceDN w:val="0"/>
        <w:adjustRightInd w:val="0"/>
        <w:spacing w:before="36" w:after="200"/>
        <w:ind w:left="0"/>
        <w:jc w:val="both"/>
        <w:rPr>
          <w:b/>
          <w:i/>
          <w:lang w:val="id-ID" w:eastAsia="id-ID"/>
        </w:rPr>
      </w:pPr>
      <w:r w:rsidRPr="00551B05">
        <w:rPr>
          <w:lang w:eastAsia="id-ID"/>
        </w:rPr>
        <w:t>According to Veithzal et al. (2007: 722) BOPO is a comparison between operational costs and operating income in measuring the level of efficiency and ability of banks in conducting their operations. As the basis of analysis to reveal the operational costs of banks, the author tries to adopt the theory of cost companies / banks (banking operational cost theory), namely</w:t>
      </w:r>
      <w:r w:rsidR="002B12FE">
        <w:rPr>
          <w:lang w:eastAsia="id-ID"/>
        </w:rPr>
        <w:t xml:space="preserve"> ;</w:t>
      </w:r>
    </w:p>
    <w:p w14:paraId="7782B7ED" w14:textId="77777777" w:rsidR="003767DA" w:rsidRDefault="003767DA" w:rsidP="008407D5">
      <w:pPr>
        <w:pStyle w:val="ListParagraph"/>
        <w:widowControl w:val="0"/>
        <w:autoSpaceDE w:val="0"/>
        <w:autoSpaceDN w:val="0"/>
        <w:adjustRightInd w:val="0"/>
        <w:spacing w:before="36" w:after="200"/>
        <w:ind w:left="0"/>
        <w:jc w:val="both"/>
        <w:rPr>
          <w:b/>
          <w:i/>
          <w:lang w:val="id-ID" w:eastAsia="id-ID"/>
        </w:rPr>
      </w:pPr>
    </w:p>
    <w:p w14:paraId="6CD70152" w14:textId="77777777" w:rsidR="003767DA" w:rsidRDefault="002B12FE" w:rsidP="00551B05">
      <w:pPr>
        <w:pStyle w:val="ListParagraph"/>
        <w:widowControl w:val="0"/>
        <w:autoSpaceDE w:val="0"/>
        <w:autoSpaceDN w:val="0"/>
        <w:adjustRightInd w:val="0"/>
        <w:spacing w:before="36" w:after="200"/>
        <w:ind w:left="0"/>
        <w:jc w:val="both"/>
        <w:rPr>
          <w:lang w:val="id-ID" w:eastAsia="id-ID"/>
        </w:rPr>
      </w:pPr>
      <w:r w:rsidRPr="002B12FE">
        <w:rPr>
          <w:b/>
          <w:i/>
          <w:lang w:eastAsia="id-ID"/>
        </w:rPr>
        <w:t>*</w:t>
      </w:r>
      <w:r>
        <w:rPr>
          <w:b/>
          <w:i/>
          <w:lang w:eastAsia="id-ID"/>
        </w:rPr>
        <w:t xml:space="preserve">  </w:t>
      </w:r>
      <w:r w:rsidRPr="002B12FE">
        <w:rPr>
          <w:b/>
          <w:i/>
          <w:lang w:eastAsia="id-ID"/>
        </w:rPr>
        <w:t>Transactional Cost Theory</w:t>
      </w:r>
    </w:p>
    <w:p w14:paraId="0F5A9B4E" w14:textId="77777777" w:rsidR="00551B05" w:rsidRDefault="00551B05" w:rsidP="00551B05">
      <w:pPr>
        <w:pStyle w:val="ListParagraph"/>
        <w:widowControl w:val="0"/>
        <w:autoSpaceDE w:val="0"/>
        <w:autoSpaceDN w:val="0"/>
        <w:adjustRightInd w:val="0"/>
        <w:spacing w:before="36" w:after="200"/>
        <w:ind w:left="0"/>
        <w:jc w:val="both"/>
        <w:rPr>
          <w:lang w:eastAsia="id-ID"/>
        </w:rPr>
      </w:pPr>
      <w:r>
        <w:rPr>
          <w:lang w:eastAsia="id-ID"/>
        </w:rPr>
        <w:t>This theory is a fraction of microeconomics that ana</w:t>
      </w:r>
      <w:r w:rsidR="00340DE8">
        <w:rPr>
          <w:lang w:eastAsia="id-ID"/>
        </w:rPr>
        <w:t xml:space="preserve">lyzes from the supply side </w:t>
      </w:r>
      <w:r w:rsidR="00340DE8">
        <w:rPr>
          <w:lang w:val="id-ID" w:eastAsia="id-ID"/>
        </w:rPr>
        <w:t>of</w:t>
      </w:r>
      <w:r>
        <w:rPr>
          <w:lang w:eastAsia="id-ID"/>
        </w:rPr>
        <w:t xml:space="preserve"> profit maximization. In this th</w:t>
      </w:r>
      <w:r w:rsidR="00340DE8">
        <w:rPr>
          <w:lang w:eastAsia="id-ID"/>
        </w:rPr>
        <w:t>eory production cost</w:t>
      </w:r>
      <w:r>
        <w:rPr>
          <w:lang w:eastAsia="id-ID"/>
        </w:rPr>
        <w:t xml:space="preserve"> have an important position. Coase (1937) through his work entitled the nature of the firm (in Williamson and Winter, 1993) became the first to show that as an additional cost of production costs transaction costs must be considered in the context of the company.</w:t>
      </w:r>
    </w:p>
    <w:p w14:paraId="2204C432" w14:textId="77777777" w:rsidR="003767DA" w:rsidRDefault="00551B05" w:rsidP="00551B05">
      <w:pPr>
        <w:pStyle w:val="ListParagraph"/>
        <w:widowControl w:val="0"/>
        <w:autoSpaceDE w:val="0"/>
        <w:autoSpaceDN w:val="0"/>
        <w:adjustRightInd w:val="0"/>
        <w:spacing w:before="36" w:after="200"/>
        <w:ind w:left="0"/>
        <w:jc w:val="both"/>
        <w:rPr>
          <w:lang w:val="id-ID" w:eastAsia="id-ID"/>
        </w:rPr>
      </w:pPr>
      <w:r>
        <w:rPr>
          <w:lang w:eastAsia="id-ID"/>
        </w:rPr>
        <w:lastRenderedPageBreak/>
        <w:t xml:space="preserve">     </w:t>
      </w:r>
    </w:p>
    <w:p w14:paraId="2BE7893B" w14:textId="77777777" w:rsidR="002B12FE" w:rsidRPr="002B12FE" w:rsidRDefault="00551B05" w:rsidP="00551B05">
      <w:pPr>
        <w:pStyle w:val="ListParagraph"/>
        <w:widowControl w:val="0"/>
        <w:autoSpaceDE w:val="0"/>
        <w:autoSpaceDN w:val="0"/>
        <w:adjustRightInd w:val="0"/>
        <w:spacing w:before="36" w:after="200"/>
        <w:ind w:left="0"/>
        <w:jc w:val="both"/>
      </w:pPr>
      <w:r>
        <w:rPr>
          <w:lang w:eastAsia="id-ID"/>
        </w:rPr>
        <w:t>Leon and Ericsson (2007: 110) state that operating income consists of: 1) Interest yield, whi</w:t>
      </w:r>
      <w:r w:rsidR="00340DE8">
        <w:rPr>
          <w:lang w:eastAsia="id-ID"/>
        </w:rPr>
        <w:t>ch is obtained from placement o</w:t>
      </w:r>
      <w:r w:rsidR="00340DE8">
        <w:rPr>
          <w:lang w:val="id-ID" w:eastAsia="id-ID"/>
        </w:rPr>
        <w:t>f</w:t>
      </w:r>
      <w:r>
        <w:rPr>
          <w:lang w:eastAsia="id-ID"/>
        </w:rPr>
        <w:t xml:space="preserve"> earning assets. 2) Commissions and fees represent income from services transactions provided by banks to customers. 3) Foreign currency revenues are obtained from foreign exchange transactions conducted by banks. 4) Non-operating income, is revenue derived from non-business principal of the bank</w:t>
      </w:r>
      <w:r w:rsidR="002B12FE" w:rsidRPr="002B12FE">
        <w:t>.</w:t>
      </w:r>
    </w:p>
    <w:p w14:paraId="6C8878D1" w14:textId="77777777" w:rsidR="002B12FE" w:rsidRPr="002B12FE" w:rsidRDefault="00551B05" w:rsidP="00EE07BE">
      <w:pPr>
        <w:jc w:val="both"/>
      </w:pPr>
      <w:r w:rsidRPr="00551B05">
        <w:t>Frianto (2012: 72) states that the operational costs are calculated based on the sum of the total interest expense and total other operating expenses. Operating income is the sum of total interest income and total other operating income</w:t>
      </w:r>
      <w:r w:rsidR="002B12FE" w:rsidRPr="002B12FE">
        <w:t xml:space="preserve">. </w:t>
      </w:r>
    </w:p>
    <w:p w14:paraId="4A8FE8B4" w14:textId="77777777" w:rsidR="003767DA" w:rsidRDefault="00EE07BE" w:rsidP="00EE07BE">
      <w:pPr>
        <w:jc w:val="both"/>
        <w:rPr>
          <w:lang w:val="id-ID"/>
        </w:rPr>
      </w:pPr>
      <w:r>
        <w:t xml:space="preserve">     </w:t>
      </w:r>
    </w:p>
    <w:p w14:paraId="0DDF281F" w14:textId="77777777" w:rsidR="002B12FE" w:rsidRDefault="00551B05" w:rsidP="00EE07BE">
      <w:pPr>
        <w:jc w:val="both"/>
      </w:pPr>
      <w:r w:rsidRPr="00551B05">
        <w:t>Operational efficiency can be achieved through careful planning, measurable activity and revenue targeting, and</w:t>
      </w:r>
      <w:r w:rsidR="00340DE8">
        <w:t xml:space="preserve"> expenditure restrictions. Give</w:t>
      </w:r>
      <w:r w:rsidRPr="00551B05">
        <w:t xml:space="preserve"> the principal activi</w:t>
      </w:r>
      <w:r w:rsidR="00340DE8">
        <w:t xml:space="preserve">ties of the bank in principle </w:t>
      </w:r>
      <w:r w:rsidR="00340DE8">
        <w:rPr>
          <w:lang w:val="id-ID"/>
        </w:rPr>
        <w:t>are</w:t>
      </w:r>
      <w:r w:rsidRPr="00551B05">
        <w:t xml:space="preserve"> to act as an intermediary</w:t>
      </w:r>
      <w:r w:rsidR="00340DE8">
        <w:t xml:space="preserve">, which is collecting funds </w:t>
      </w:r>
      <w:r w:rsidR="00340DE8">
        <w:rPr>
          <w:lang w:val="id-ID"/>
        </w:rPr>
        <w:t>of</w:t>
      </w:r>
      <w:r w:rsidRPr="00551B05">
        <w:t xml:space="preserve"> the public, then the cost and</w:t>
      </w:r>
      <w:r w:rsidR="00340DE8">
        <w:t xml:space="preserve"> operating income of the bank </w:t>
      </w:r>
      <w:r w:rsidR="00340DE8">
        <w:rPr>
          <w:lang w:val="id-ID"/>
        </w:rPr>
        <w:t xml:space="preserve">are </w:t>
      </w:r>
      <w:r w:rsidRPr="00551B05">
        <w:t>dominated by the cost of interest and interest. This so-called efficiency ratio is used to measure the bank's management capability in contr</w:t>
      </w:r>
      <w:r w:rsidR="00340DE8">
        <w:t>olling operational costs a</w:t>
      </w:r>
      <w:r w:rsidR="00340DE8">
        <w:rPr>
          <w:lang w:val="id-ID"/>
        </w:rPr>
        <w:t>re</w:t>
      </w:r>
      <w:r w:rsidRPr="00551B05">
        <w:t xml:space="preserve"> operating income (Almilia and Herdiningtyas, 2005). According to Bank Indonesia through SE BI No.6 / 73 / Intern / 2004, operating efficiency is measured by comp</w:t>
      </w:r>
      <w:r w:rsidR="00340DE8">
        <w:t xml:space="preserve">aring total operating costs </w:t>
      </w:r>
      <w:r w:rsidR="00340DE8">
        <w:rPr>
          <w:lang w:val="id-ID"/>
        </w:rPr>
        <w:t>of</w:t>
      </w:r>
      <w:r w:rsidRPr="00551B05">
        <w:t xml:space="preserve"> total operating income or often called BOPO with a ratio not exceeding 90%</w:t>
      </w:r>
      <w:r w:rsidR="000A74A6">
        <w:t>.</w:t>
      </w:r>
    </w:p>
    <w:p w14:paraId="4512E1DD" w14:textId="77777777" w:rsidR="003767DA" w:rsidRDefault="003767DA" w:rsidP="000A74A6">
      <w:pPr>
        <w:ind w:left="426" w:hanging="426"/>
        <w:jc w:val="both"/>
        <w:rPr>
          <w:rFonts w:eastAsia="Arial Unicode MS"/>
          <w:color w:val="000000"/>
          <w:spacing w:val="-2"/>
          <w:lang w:val="id-ID"/>
        </w:rPr>
      </w:pPr>
    </w:p>
    <w:p w14:paraId="006FA265" w14:textId="77777777" w:rsidR="003767DA" w:rsidRPr="00067C4D" w:rsidRDefault="000A74A6" w:rsidP="003767DA">
      <w:pPr>
        <w:ind w:left="426" w:hanging="426"/>
        <w:jc w:val="both"/>
        <w:rPr>
          <w:color w:val="E36C0A"/>
          <w:lang w:val="id-ID"/>
        </w:rPr>
      </w:pPr>
      <w:r w:rsidRPr="000A74A6">
        <w:rPr>
          <w:rFonts w:eastAsia="Arial Unicode MS"/>
          <w:color w:val="000000"/>
          <w:spacing w:val="-2"/>
        </w:rPr>
        <w:t>*</w:t>
      </w:r>
      <w:r>
        <w:rPr>
          <w:rFonts w:eastAsia="Arial Unicode MS"/>
          <w:b/>
          <w:color w:val="000000"/>
          <w:spacing w:val="-2"/>
        </w:rPr>
        <w:t xml:space="preserve"> </w:t>
      </w:r>
      <w:r w:rsidR="00551B05" w:rsidRPr="00067C4D">
        <w:rPr>
          <w:rFonts w:eastAsia="Arial Unicode MS"/>
          <w:b/>
          <w:color w:val="E36C0A"/>
          <w:spacing w:val="-2"/>
        </w:rPr>
        <w:t>Third Party Fund Growth</w:t>
      </w:r>
      <w:r w:rsidR="00551B05" w:rsidRPr="00067C4D">
        <w:rPr>
          <w:rFonts w:eastAsia="Arial Unicode MS"/>
          <w:b/>
          <w:color w:val="E36C0A"/>
          <w:spacing w:val="-2"/>
          <w:lang w:val="id-ID"/>
        </w:rPr>
        <w:t xml:space="preserve"> </w:t>
      </w:r>
      <w:r w:rsidRPr="00067C4D">
        <w:rPr>
          <w:rFonts w:eastAsia="Arial Unicode MS"/>
          <w:b/>
          <w:color w:val="E36C0A"/>
          <w:spacing w:val="-2"/>
        </w:rPr>
        <w:t>(</w:t>
      </w:r>
      <w:r w:rsidRPr="00067C4D">
        <w:rPr>
          <w:rFonts w:eastAsia="Arial Unicode MS"/>
          <w:b/>
          <w:i/>
          <w:color w:val="E36C0A"/>
          <w:spacing w:val="-2"/>
        </w:rPr>
        <w:t>Deposit Growth</w:t>
      </w:r>
      <w:r w:rsidRPr="00067C4D">
        <w:rPr>
          <w:rFonts w:eastAsia="Arial Unicode MS"/>
          <w:b/>
          <w:color w:val="E36C0A"/>
          <w:spacing w:val="-2"/>
        </w:rPr>
        <w:t xml:space="preserve"> – DG)</w:t>
      </w:r>
    </w:p>
    <w:p w14:paraId="55B5BEA1" w14:textId="77777777" w:rsidR="007A7CF2" w:rsidRDefault="00551B05" w:rsidP="003767DA">
      <w:pPr>
        <w:jc w:val="both"/>
      </w:pPr>
      <w:r w:rsidRPr="00551B05">
        <w:t>From the depositors' perspective there are three theories about saving behavior explaining why depositors are w</w:t>
      </w:r>
      <w:r w:rsidR="00DB7AD9">
        <w:t xml:space="preserve">illing to deposit their funds </w:t>
      </w:r>
      <w:r w:rsidR="00DB7AD9">
        <w:rPr>
          <w:lang w:val="id-ID"/>
        </w:rPr>
        <w:t>of</w:t>
      </w:r>
      <w:r w:rsidRPr="00551B05">
        <w:t xml:space="preserve"> the form of savings, the three theories are</w:t>
      </w:r>
      <w:r w:rsidR="007A7CF2" w:rsidRPr="007A7CF2">
        <w:t>:</w:t>
      </w:r>
      <w:r w:rsidR="007A7CF2">
        <w:t xml:space="preserve"> </w:t>
      </w:r>
    </w:p>
    <w:p w14:paraId="385EFA56" w14:textId="77777777" w:rsidR="003767DA" w:rsidRDefault="003767DA" w:rsidP="003767DA">
      <w:pPr>
        <w:ind w:left="426" w:hanging="426"/>
        <w:jc w:val="both"/>
        <w:rPr>
          <w:lang w:val="id-ID"/>
        </w:rPr>
      </w:pPr>
      <w:r>
        <w:t xml:space="preserve">1) </w:t>
      </w:r>
      <w:r w:rsidR="00551B05" w:rsidRPr="00551B05">
        <w:t>The traditional model of the life cycle</w:t>
      </w:r>
      <w:r w:rsidR="00DB7AD9">
        <w:rPr>
          <w:lang w:val="id-ID"/>
        </w:rPr>
        <w:t>s</w:t>
      </w:r>
      <w:r w:rsidR="00551B05" w:rsidRPr="00551B05">
        <w:t xml:space="preserve"> hypothesis by Modigliani and Brumberg (1954); According to this model a rational person spends his money on the basis of his ability and refers to the stages of his life's journey. The life cycle</w:t>
      </w:r>
      <w:r w:rsidR="000D6068">
        <w:rPr>
          <w:lang w:val="id-ID"/>
        </w:rPr>
        <w:t>s</w:t>
      </w:r>
      <w:r w:rsidR="00551B05" w:rsidRPr="00551B05">
        <w:t xml:space="preserve"> hypothesis states that a person's consumption pattern is based on his earnings expectations to secure his or her life's needs. In productive times a person will set aside some of his income in preparation for retirement</w:t>
      </w:r>
      <w:r w:rsidR="00DB69AF" w:rsidRPr="00DB69AF">
        <w:t>.</w:t>
      </w:r>
    </w:p>
    <w:p w14:paraId="2EB67E00" w14:textId="77777777" w:rsidR="00DB69AF" w:rsidRDefault="003767DA" w:rsidP="003767DA">
      <w:pPr>
        <w:ind w:left="426" w:hanging="426"/>
        <w:jc w:val="both"/>
      </w:pPr>
      <w:r>
        <w:t xml:space="preserve"> 2) </w:t>
      </w:r>
      <w:r w:rsidR="00551B05" w:rsidRPr="00551B05">
        <w:t>Fixed income hypothesis by Friedman (1957); This theory states that a person will save if he thinks his or her average long-term income (permanent income) will be less than his current income</w:t>
      </w:r>
      <w:r w:rsidR="00DB69AF" w:rsidRPr="00DB69AF">
        <w:t>.</w:t>
      </w:r>
    </w:p>
    <w:p w14:paraId="2A0C87CA" w14:textId="77777777" w:rsidR="0028718A" w:rsidRDefault="00582A0D" w:rsidP="00582A0D">
      <w:pPr>
        <w:ind w:left="426" w:hanging="426"/>
        <w:jc w:val="both"/>
      </w:pPr>
      <w:r>
        <w:t xml:space="preserve"> 3) </w:t>
      </w:r>
      <w:r>
        <w:rPr>
          <w:lang w:val="id-ID"/>
        </w:rPr>
        <w:t xml:space="preserve"> </w:t>
      </w:r>
      <w:r w:rsidR="00551B05" w:rsidRPr="00551B05">
        <w:t>The buffer-stock theory of (Deaton, 1991; Carroll Christopher, 1997). This theory states that someone will prepare the funds (saving) in case of accident or something that is not desired to occur and also to maintain the unce</w:t>
      </w:r>
      <w:r w:rsidR="000D6068">
        <w:t xml:space="preserve">rtainty of income that occurs </w:t>
      </w:r>
      <w:r w:rsidR="000D6068">
        <w:rPr>
          <w:lang w:val="id-ID"/>
        </w:rPr>
        <w:t>to</w:t>
      </w:r>
      <w:r w:rsidR="00551B05" w:rsidRPr="00551B05">
        <w:t xml:space="preserve"> the future</w:t>
      </w:r>
      <w:r w:rsidR="0028718A" w:rsidRPr="0028718A">
        <w:t>.</w:t>
      </w:r>
    </w:p>
    <w:p w14:paraId="3DC2164B" w14:textId="77777777" w:rsidR="00582A0D" w:rsidRDefault="00EE07BE" w:rsidP="00EE07BE">
      <w:pPr>
        <w:jc w:val="both"/>
        <w:rPr>
          <w:lang w:val="id-ID"/>
        </w:rPr>
      </w:pPr>
      <w:r>
        <w:rPr>
          <w:lang w:val="id-ID"/>
        </w:rPr>
        <w:t xml:space="preserve">     </w:t>
      </w:r>
    </w:p>
    <w:p w14:paraId="59DE00C7" w14:textId="77777777" w:rsidR="0028718A" w:rsidRDefault="00551B05" w:rsidP="00582A0D">
      <w:pPr>
        <w:jc w:val="both"/>
      </w:pPr>
      <w:r w:rsidRPr="00551B05">
        <w:rPr>
          <w:lang w:val="id-ID"/>
        </w:rPr>
        <w:t>From the bank side, the growth of saving or growth of third party funds is the percentage of third party fund growth from the previous time. The greater the value of DPK growth shows the greater customer confidence and show the success of a bank strategy in attracting</w:t>
      </w:r>
      <w:r w:rsidR="000D6068">
        <w:rPr>
          <w:lang w:val="id-ID"/>
        </w:rPr>
        <w:t xml:space="preserve"> the public to save the funds of</w:t>
      </w:r>
      <w:r w:rsidRPr="00551B05">
        <w:rPr>
          <w:lang w:val="id-ID"/>
        </w:rPr>
        <w:t xml:space="preserve"> the bank. The third party funds obtained by adding the demand deposits, savings and deposits. Calculation to find the value of DPK growth is determined based on the percentage comparison </w:t>
      </w:r>
      <w:r w:rsidR="000D6068">
        <w:rPr>
          <w:lang w:val="id-ID"/>
        </w:rPr>
        <w:t>of DPK t-DPK t-1 difference between</w:t>
      </w:r>
      <w:r w:rsidRPr="00551B05">
        <w:rPr>
          <w:lang w:val="id-ID"/>
        </w:rPr>
        <w:t xml:space="preserve"> DPK</w:t>
      </w:r>
      <w:r w:rsidR="0028718A" w:rsidRPr="0028718A">
        <w:t xml:space="preserve"> </w:t>
      </w:r>
      <w:r w:rsidR="0028718A" w:rsidRPr="0028718A">
        <w:rPr>
          <w:vertAlign w:val="subscript"/>
        </w:rPr>
        <w:t>t-1</w:t>
      </w:r>
    </w:p>
    <w:p w14:paraId="34D0C1B6" w14:textId="77777777" w:rsidR="00582A0D" w:rsidRDefault="00F632E6" w:rsidP="00F632E6">
      <w:pPr>
        <w:jc w:val="both"/>
        <w:rPr>
          <w:lang w:val="id-ID"/>
        </w:rPr>
      </w:pPr>
      <w:r>
        <w:t xml:space="preserve">     </w:t>
      </w:r>
    </w:p>
    <w:p w14:paraId="47A440C7" w14:textId="77777777" w:rsidR="00DD443D" w:rsidRDefault="00551B05" w:rsidP="00F632E6">
      <w:pPr>
        <w:jc w:val="both"/>
        <w:rPr>
          <w:lang w:val="id-ID"/>
        </w:rPr>
      </w:pPr>
      <w:r w:rsidRPr="00551B05">
        <w:t xml:space="preserve">Keynes (1936) in Arthmar and Brady (2011) conveys the theory of propensity to consume that explicitly relates between savings and income, stated that income is said to be one of the factors affecting savings. Keynes declared a modern consumption function based on modern psychological behavior, ie if there is an increase in real income, the increase is not used entirely to increase consumption, but from residual income is also used to save. According to Sumastuti (2013: 31), the theory of savings can not be separated from the theory of consumption, because they are related to each other. In an economy, consumption and savings behavior is difficult to know because it depends on many things, including the income and expectations of each individual. In addition, the differences in savings theory, differences and cultural changes in society and banking facilities in the form of </w:t>
      </w:r>
      <w:r w:rsidRPr="00551B05">
        <w:lastRenderedPageBreak/>
        <w:t>credit / loans, resulting</w:t>
      </w:r>
      <w:r w:rsidR="000D6068">
        <w:t xml:space="preserve"> in household saving behavior </w:t>
      </w:r>
      <w:r w:rsidR="000D6068">
        <w:rPr>
          <w:lang w:val="id-ID"/>
        </w:rPr>
        <w:t>are</w:t>
      </w:r>
      <w:r w:rsidRPr="00551B05">
        <w:t xml:space="preserve"> always changing. The behavior of household savings is determined by two important decisions, namely how much real income will be used for consumption and saving. Household consumption / savings planning can be simplified into two periods: present and future. For consumption purposes, house</w:t>
      </w:r>
      <w:r w:rsidR="000D6068">
        <w:t>holds will maximize utility o</w:t>
      </w:r>
      <w:r w:rsidR="000D6068">
        <w:rPr>
          <w:lang w:val="id-ID"/>
        </w:rPr>
        <w:t>f</w:t>
      </w:r>
      <w:r w:rsidRPr="00551B05">
        <w:t xml:space="preserve"> the life period</w:t>
      </w:r>
      <w:r w:rsidR="00DD443D" w:rsidRPr="00DD443D">
        <w:t>.</w:t>
      </w:r>
    </w:p>
    <w:p w14:paraId="0355EE16" w14:textId="77777777" w:rsidR="00582A0D" w:rsidRPr="00582A0D" w:rsidRDefault="00582A0D" w:rsidP="00F632E6">
      <w:pPr>
        <w:jc w:val="both"/>
        <w:rPr>
          <w:lang w:val="id-ID"/>
        </w:rPr>
      </w:pPr>
    </w:p>
    <w:p w14:paraId="129B62AA" w14:textId="77777777" w:rsidR="00582A0D" w:rsidRPr="00067C4D" w:rsidRDefault="006935F4" w:rsidP="00582A0D">
      <w:pPr>
        <w:ind w:left="426" w:hanging="426"/>
        <w:jc w:val="both"/>
        <w:rPr>
          <w:color w:val="E36C0A"/>
          <w:lang w:val="id-ID"/>
        </w:rPr>
      </w:pPr>
      <w:r w:rsidRPr="00067C4D">
        <w:rPr>
          <w:color w:val="E36C0A"/>
        </w:rPr>
        <w:t>*</w:t>
      </w:r>
      <w:r w:rsidRPr="00067C4D">
        <w:rPr>
          <w:rFonts w:eastAsia="Times New Roman"/>
          <w:b/>
          <w:color w:val="E36C0A"/>
          <w:lang w:val="nb-NO"/>
        </w:rPr>
        <w:t xml:space="preserve"> </w:t>
      </w:r>
      <w:r w:rsidR="00642BC1" w:rsidRPr="00067C4D">
        <w:rPr>
          <w:rFonts w:eastAsia="Times New Roman"/>
          <w:b/>
          <w:color w:val="E36C0A"/>
          <w:lang w:val="id-ID"/>
        </w:rPr>
        <w:t xml:space="preserve"> </w:t>
      </w:r>
      <w:r w:rsidR="00551B05" w:rsidRPr="00067C4D">
        <w:rPr>
          <w:b/>
          <w:color w:val="E36C0A"/>
          <w:lang w:val="nb-NO"/>
        </w:rPr>
        <w:t>Company Growth</w:t>
      </w:r>
      <w:r w:rsidRPr="00067C4D">
        <w:rPr>
          <w:b/>
          <w:color w:val="E36C0A"/>
          <w:lang w:val="nb-NO"/>
        </w:rPr>
        <w:t xml:space="preserve"> (</w:t>
      </w:r>
      <w:r w:rsidRPr="00067C4D">
        <w:rPr>
          <w:b/>
          <w:i/>
          <w:color w:val="E36C0A"/>
          <w:lang w:val="nb-NO"/>
        </w:rPr>
        <w:t>Firm  Growth</w:t>
      </w:r>
      <w:r w:rsidRPr="00067C4D">
        <w:rPr>
          <w:b/>
          <w:color w:val="E36C0A"/>
          <w:lang w:val="nb-NO"/>
        </w:rPr>
        <w:t xml:space="preserve"> - FG)</w:t>
      </w:r>
      <w:r w:rsidRPr="00067C4D">
        <w:rPr>
          <w:color w:val="E36C0A"/>
        </w:rPr>
        <w:t xml:space="preserve"> </w:t>
      </w:r>
    </w:p>
    <w:p w14:paraId="6E24CEB9" w14:textId="77777777" w:rsidR="006935F4" w:rsidRPr="00582A0D" w:rsidRDefault="00551B05" w:rsidP="00582A0D">
      <w:pPr>
        <w:jc w:val="both"/>
      </w:pPr>
      <w:r w:rsidRPr="00551B05">
        <w:rPr>
          <w:lang w:val="id-ID"/>
        </w:rPr>
        <w:t>Niefert (2005) discusses the well-known theory of corporate growth Gibrat's law coined by Robert Gibrat (1904-1980) in 1931 or better known as the Law of Proportionate Effect (LPE) or proportionate growth which mentions that the growth of the company is not dependent on company size. Many studies justify the statement of Gibrat but many studies tha</w:t>
      </w:r>
      <w:r w:rsidR="000D6068">
        <w:rPr>
          <w:lang w:val="id-ID"/>
        </w:rPr>
        <w:t>t can not prove the truth about Gibrat's theory of</w:t>
      </w:r>
      <w:r w:rsidRPr="00551B05">
        <w:rPr>
          <w:lang w:val="id-ID"/>
        </w:rPr>
        <w:t xml:space="preserve"> large companies. Several studies have concluded that knowledge of the relationship between firm growth, firm size and age of the firm becomes very important in the effort to determine the method of estimation and strategy for the firm</w:t>
      </w:r>
      <w:r w:rsidR="006935F4" w:rsidRPr="006935F4">
        <w:rPr>
          <w:lang w:val="id-ID"/>
        </w:rPr>
        <w:t>.</w:t>
      </w:r>
      <w:r w:rsidR="008A098D">
        <w:rPr>
          <w:lang w:val="id-ID"/>
        </w:rPr>
        <w:t xml:space="preserve"> </w:t>
      </w:r>
    </w:p>
    <w:p w14:paraId="151B8D8A" w14:textId="77777777" w:rsidR="00582A0D" w:rsidRDefault="00582A0D" w:rsidP="00EE07BE">
      <w:pPr>
        <w:jc w:val="both"/>
        <w:rPr>
          <w:lang w:val="id-ID"/>
        </w:rPr>
      </w:pPr>
      <w:r>
        <w:rPr>
          <w:lang w:val="id-ID"/>
        </w:rPr>
        <w:t xml:space="preserve"> </w:t>
      </w:r>
    </w:p>
    <w:p w14:paraId="5D11A433" w14:textId="77777777" w:rsidR="008A098D" w:rsidRDefault="000D6068" w:rsidP="00EE07BE">
      <w:pPr>
        <w:jc w:val="both"/>
        <w:rPr>
          <w:rFonts w:eastAsia="Arial Unicode MS"/>
          <w:i/>
          <w:color w:val="000000"/>
          <w:spacing w:val="-3"/>
          <w:lang w:val="id-ID"/>
        </w:rPr>
      </w:pPr>
      <w:r w:rsidRPr="000D6068">
        <w:rPr>
          <w:lang w:val="id-ID"/>
        </w:rPr>
        <w:t>In addition to the above-mentioned theory of Gibrat there are many theories that connect the growth of companies with profitability, some of which are</w:t>
      </w:r>
      <w:r w:rsidR="008A098D" w:rsidRPr="008A098D">
        <w:rPr>
          <w:lang w:val="id-ID"/>
        </w:rPr>
        <w:t>:</w:t>
      </w:r>
      <w:r w:rsidR="008A098D">
        <w:rPr>
          <w:lang w:val="id-ID"/>
        </w:rPr>
        <w:t xml:space="preserve"> </w:t>
      </w:r>
    </w:p>
    <w:p w14:paraId="08D513CB" w14:textId="77777777" w:rsidR="00582A0D" w:rsidRDefault="008A098D" w:rsidP="00582A0D">
      <w:pPr>
        <w:pStyle w:val="ListParagraph"/>
        <w:numPr>
          <w:ilvl w:val="0"/>
          <w:numId w:val="23"/>
        </w:numPr>
        <w:ind w:left="284" w:hanging="284"/>
        <w:jc w:val="both"/>
        <w:rPr>
          <w:rFonts w:eastAsia="Arial Unicode MS"/>
          <w:b/>
          <w:color w:val="000000"/>
          <w:spacing w:val="-3"/>
          <w:lang w:val="id-ID"/>
        </w:rPr>
      </w:pPr>
      <w:r w:rsidRPr="00582A0D">
        <w:rPr>
          <w:rFonts w:eastAsia="Arial Unicode MS"/>
          <w:b/>
          <w:color w:val="000000"/>
          <w:spacing w:val="-3"/>
          <w:lang w:val="id-ID"/>
        </w:rPr>
        <w:t>Persistence of Profit Theory</w:t>
      </w:r>
    </w:p>
    <w:p w14:paraId="71650F5C" w14:textId="77777777" w:rsidR="008A098D" w:rsidRPr="00582A0D" w:rsidRDefault="00551B05" w:rsidP="00582A0D">
      <w:pPr>
        <w:pStyle w:val="ListParagraph"/>
        <w:ind w:left="284"/>
        <w:jc w:val="both"/>
        <w:rPr>
          <w:rFonts w:eastAsia="Arial Unicode MS"/>
          <w:b/>
          <w:color w:val="000000"/>
          <w:spacing w:val="-3"/>
          <w:lang w:val="id-ID"/>
        </w:rPr>
      </w:pPr>
      <w:r w:rsidRPr="00582A0D">
        <w:rPr>
          <w:rFonts w:eastAsia="Arial Unicode MS"/>
          <w:color w:val="000000"/>
          <w:spacing w:val="-3"/>
          <w:lang w:val="id-ID"/>
        </w:rPr>
        <w:t>This theory was invented by Mueller in 1977, according to Mueller due to tight market competition then the profitability of the company is depressed to achieve a certain level of profit (certain value). This study proves that the market there is no barrier to entry and exit so that in the long term the company reaches the level of average profit</w:t>
      </w:r>
      <w:r w:rsidR="008A098D" w:rsidRPr="00582A0D">
        <w:rPr>
          <w:rFonts w:eastAsia="Arial Unicode MS"/>
          <w:color w:val="000000"/>
          <w:spacing w:val="-3"/>
          <w:lang w:val="id-ID"/>
        </w:rPr>
        <w:t>.</w:t>
      </w:r>
    </w:p>
    <w:p w14:paraId="4D0B3A9A" w14:textId="77777777" w:rsidR="008A098D" w:rsidRPr="00582A0D" w:rsidRDefault="008A098D" w:rsidP="00582A0D">
      <w:pPr>
        <w:pStyle w:val="ListParagraph"/>
        <w:widowControl w:val="0"/>
        <w:numPr>
          <w:ilvl w:val="0"/>
          <w:numId w:val="23"/>
        </w:numPr>
        <w:autoSpaceDE w:val="0"/>
        <w:autoSpaceDN w:val="0"/>
        <w:adjustRightInd w:val="0"/>
        <w:spacing w:before="37"/>
        <w:ind w:left="284" w:hanging="284"/>
        <w:jc w:val="both"/>
        <w:rPr>
          <w:rFonts w:eastAsia="Arial Unicode MS"/>
          <w:b/>
          <w:color w:val="000000"/>
          <w:spacing w:val="-3"/>
          <w:lang w:val="id-ID"/>
        </w:rPr>
      </w:pPr>
      <w:r w:rsidRPr="00582A0D">
        <w:rPr>
          <w:rFonts w:eastAsia="Arial Unicode MS"/>
          <w:b/>
          <w:color w:val="000000"/>
          <w:spacing w:val="-3"/>
          <w:lang w:val="id-ID"/>
        </w:rPr>
        <w:t>Growth of the Fitter Theory</w:t>
      </w:r>
    </w:p>
    <w:p w14:paraId="42D3FB4A" w14:textId="77777777" w:rsidR="008A098D" w:rsidRDefault="009E17BF" w:rsidP="00582A0D">
      <w:pPr>
        <w:widowControl w:val="0"/>
        <w:autoSpaceDE w:val="0"/>
        <w:autoSpaceDN w:val="0"/>
        <w:adjustRightInd w:val="0"/>
        <w:spacing w:before="37"/>
        <w:ind w:left="284"/>
        <w:jc w:val="both"/>
        <w:rPr>
          <w:rFonts w:eastAsia="Arial Unicode MS"/>
          <w:color w:val="000000"/>
          <w:spacing w:val="-3"/>
          <w:lang w:val="id-ID"/>
        </w:rPr>
      </w:pPr>
      <w:r w:rsidRPr="009E17BF">
        <w:rPr>
          <w:rFonts w:eastAsia="Arial Unicode MS"/>
          <w:color w:val="000000"/>
          <w:spacing w:val="-3"/>
          <w:lang w:val="id-ID"/>
        </w:rPr>
        <w:t>This theory was introduced by Alchian in 1950, according to this theory a healthy company is reflected from corporate profits, a healthy company will grow and develop while unhealthy companies will be excluded from the market</w:t>
      </w:r>
      <w:r w:rsidR="008A098D" w:rsidRPr="008A098D">
        <w:rPr>
          <w:rFonts w:eastAsia="Arial Unicode MS"/>
          <w:color w:val="000000"/>
          <w:spacing w:val="-3"/>
          <w:lang w:val="id-ID"/>
        </w:rPr>
        <w:t>.</w:t>
      </w:r>
    </w:p>
    <w:p w14:paraId="595C1B73" w14:textId="77777777" w:rsidR="00582A0D" w:rsidRDefault="008A098D" w:rsidP="00582A0D">
      <w:pPr>
        <w:pStyle w:val="ListParagraph"/>
        <w:widowControl w:val="0"/>
        <w:numPr>
          <w:ilvl w:val="0"/>
          <w:numId w:val="23"/>
        </w:numPr>
        <w:autoSpaceDE w:val="0"/>
        <w:autoSpaceDN w:val="0"/>
        <w:adjustRightInd w:val="0"/>
        <w:spacing w:before="37"/>
        <w:ind w:left="284" w:hanging="284"/>
        <w:jc w:val="both"/>
        <w:rPr>
          <w:rFonts w:eastAsia="Arial Unicode MS"/>
          <w:b/>
          <w:color w:val="000000"/>
          <w:spacing w:val="-3"/>
          <w:lang w:val="id-ID"/>
        </w:rPr>
      </w:pPr>
      <w:r w:rsidRPr="00582A0D">
        <w:rPr>
          <w:rFonts w:eastAsia="Arial Unicode MS"/>
          <w:b/>
          <w:color w:val="000000"/>
          <w:spacing w:val="-3"/>
          <w:lang w:val="id-ID"/>
        </w:rPr>
        <w:t>Theory of Financing Constraint</w:t>
      </w:r>
    </w:p>
    <w:p w14:paraId="3D95F540" w14:textId="77777777" w:rsidR="00FF0222" w:rsidRPr="00582A0D" w:rsidRDefault="009E17BF" w:rsidP="00582A0D">
      <w:pPr>
        <w:pStyle w:val="ListParagraph"/>
        <w:widowControl w:val="0"/>
        <w:numPr>
          <w:ilvl w:val="0"/>
          <w:numId w:val="23"/>
        </w:numPr>
        <w:autoSpaceDE w:val="0"/>
        <w:autoSpaceDN w:val="0"/>
        <w:adjustRightInd w:val="0"/>
        <w:spacing w:before="37"/>
        <w:ind w:left="284" w:hanging="284"/>
        <w:jc w:val="both"/>
        <w:rPr>
          <w:rFonts w:eastAsia="Arial Unicode MS"/>
          <w:b/>
          <w:color w:val="000000"/>
          <w:spacing w:val="-3"/>
          <w:lang w:val="id-ID"/>
        </w:rPr>
      </w:pPr>
      <w:r w:rsidRPr="00582A0D">
        <w:rPr>
          <w:rFonts w:eastAsia="Arial Unicode MS"/>
          <w:color w:val="000000"/>
          <w:spacing w:val="-3"/>
          <w:lang w:val="id-ID"/>
        </w:rPr>
        <w:t>This theory was pioneered by Soo and Jang (2011), this theory states that profit-generating companies can create opportunities to grow while companies that suffer losses do not get a chance to grow</w:t>
      </w:r>
      <w:r w:rsidR="00FF0222" w:rsidRPr="00582A0D">
        <w:rPr>
          <w:rFonts w:eastAsia="Arial Unicode MS"/>
          <w:color w:val="000000"/>
          <w:spacing w:val="-3"/>
          <w:lang w:val="id-ID"/>
        </w:rPr>
        <w:t>.</w:t>
      </w:r>
    </w:p>
    <w:p w14:paraId="3CEE765C" w14:textId="77777777" w:rsidR="00FF0222" w:rsidRDefault="00FF0222" w:rsidP="00582A0D">
      <w:pPr>
        <w:pStyle w:val="ListParagraph"/>
        <w:widowControl w:val="0"/>
        <w:numPr>
          <w:ilvl w:val="0"/>
          <w:numId w:val="23"/>
        </w:numPr>
        <w:autoSpaceDE w:val="0"/>
        <w:autoSpaceDN w:val="0"/>
        <w:adjustRightInd w:val="0"/>
        <w:spacing w:before="37"/>
        <w:ind w:left="284" w:hanging="284"/>
        <w:jc w:val="both"/>
        <w:rPr>
          <w:rFonts w:eastAsia="Arial Unicode MS"/>
          <w:b/>
          <w:i/>
          <w:color w:val="000000"/>
          <w:spacing w:val="-3"/>
          <w:lang w:val="id-ID"/>
        </w:rPr>
      </w:pPr>
      <w:r w:rsidRPr="00FF0222">
        <w:rPr>
          <w:rFonts w:eastAsia="Arial Unicode MS"/>
          <w:b/>
          <w:i/>
          <w:color w:val="000000"/>
          <w:spacing w:val="-3"/>
          <w:lang w:val="id-ID"/>
        </w:rPr>
        <w:t>Classical Recardian Hypothesis</w:t>
      </w:r>
    </w:p>
    <w:p w14:paraId="233F86A8" w14:textId="77777777" w:rsidR="00FF0222" w:rsidRDefault="009E17BF" w:rsidP="00582A0D">
      <w:pPr>
        <w:pStyle w:val="ListParagraph"/>
        <w:ind w:left="284"/>
        <w:jc w:val="both"/>
        <w:rPr>
          <w:rFonts w:eastAsia="Arial Unicode MS"/>
          <w:color w:val="000000"/>
          <w:spacing w:val="-3"/>
          <w:lang w:val="id-ID"/>
        </w:rPr>
      </w:pPr>
      <w:r w:rsidRPr="009E17BF">
        <w:rPr>
          <w:rFonts w:eastAsia="Arial Unicode MS"/>
          <w:color w:val="000000"/>
          <w:spacing w:val="-3"/>
          <w:lang w:val="id-ID"/>
        </w:rPr>
        <w:t>David Ricardo (1846) in Sraffa P. (1951) Healthy companies have the opportunity to grow, and will strive for more opportunities to grow even though it does not guarantee a better profit. This theory illustrates three things: (1) In the long run, profitability is at zero. (2) Growth is sustained by a high level of profitability. (3) Profitability is depressed by the growth of the company</w:t>
      </w:r>
      <w:r w:rsidR="00FF0222" w:rsidRPr="00FF0222">
        <w:rPr>
          <w:rFonts w:eastAsia="Arial Unicode MS"/>
          <w:color w:val="000000"/>
          <w:spacing w:val="-3"/>
          <w:lang w:val="id-ID"/>
        </w:rPr>
        <w:t>.</w:t>
      </w:r>
    </w:p>
    <w:p w14:paraId="571DAFB3" w14:textId="77777777" w:rsidR="00582A0D" w:rsidRDefault="00582A0D" w:rsidP="00582A0D">
      <w:pPr>
        <w:pStyle w:val="ListParagraph"/>
        <w:ind w:left="284"/>
        <w:jc w:val="both"/>
        <w:rPr>
          <w:rFonts w:eastAsia="Arial Unicode MS"/>
          <w:color w:val="000000"/>
          <w:spacing w:val="-3"/>
          <w:lang w:val="id-ID"/>
        </w:rPr>
      </w:pPr>
    </w:p>
    <w:p w14:paraId="28EA499C" w14:textId="77777777" w:rsidR="00A808C1" w:rsidRDefault="000D6068" w:rsidP="00417269">
      <w:pPr>
        <w:pStyle w:val="ListParagraph"/>
        <w:ind w:left="0"/>
        <w:jc w:val="both"/>
        <w:rPr>
          <w:rFonts w:eastAsia="Arial Unicode MS"/>
          <w:color w:val="000000"/>
          <w:spacing w:val="-3"/>
          <w:lang w:val="id-ID"/>
        </w:rPr>
      </w:pPr>
      <w:r w:rsidRPr="000D6068">
        <w:rPr>
          <w:rFonts w:eastAsia="Arial Unicode MS"/>
          <w:color w:val="000000"/>
          <w:spacing w:val="-3"/>
          <w:lang w:val="id-ID"/>
        </w:rPr>
        <w:t>By using theoretical study, the research hypothesis can be described as follows: (1) Company Growth (FG) has a positive effect on profitability</w:t>
      </w:r>
      <w:r w:rsidR="009C1636">
        <w:rPr>
          <w:rFonts w:eastAsia="Arial Unicode MS"/>
          <w:color w:val="000000"/>
          <w:spacing w:val="-3"/>
          <w:lang w:val="id-ID"/>
        </w:rPr>
        <w:t xml:space="preserve">. (2) </w:t>
      </w:r>
      <w:r w:rsidR="009E17BF" w:rsidRPr="009E17BF">
        <w:rPr>
          <w:rFonts w:eastAsia="Arial Unicode MS"/>
          <w:color w:val="000000"/>
          <w:spacing w:val="-3"/>
          <w:lang w:val="id-ID"/>
        </w:rPr>
        <w:t>CAR (Capital Adequacy ratio) as a proxy of capital and solvency have a positive effect on profitability. (3) NPL (Non Performing Loan) negatively affects profitability. (4) LDR (Loan to Deposit Ratio) as a proxy of loan and liquidity have a positive effect on profitability. (5) BOPO negatively affect</w:t>
      </w:r>
      <w:r>
        <w:rPr>
          <w:rFonts w:eastAsia="Arial Unicode MS"/>
          <w:color w:val="000000"/>
          <w:spacing w:val="-3"/>
          <w:lang w:val="id-ID"/>
        </w:rPr>
        <w:t>s</w:t>
      </w:r>
      <w:r w:rsidR="009E17BF" w:rsidRPr="009E17BF">
        <w:rPr>
          <w:rFonts w:eastAsia="Arial Unicode MS"/>
          <w:color w:val="000000"/>
          <w:spacing w:val="-3"/>
          <w:lang w:val="id-ID"/>
        </w:rPr>
        <w:t xml:space="preserve"> profitability. (6) The growth of DPK (Deposit growth) has a positive effect on profitability. (7) Company Growth (FG), CAR, NPL, LDR, BOPO and DPK Growth (DG) jointly affect profitability (ROA). (8) Corporate Growth (FG) has a positive effect on company value. (9) CAR has a positive effect on company value. (10) NPL negatively affects the value of the company. (11) LDR has a positive effect on firm value. (12) BOPO negatively affects the value of the company. (13) The growth of DPK (DG) has a positive effect on firm value. (14) Profitability (ROA) has a positive effect on company value (TOBIN). (15) Company Growth (FG), CAR, NPL, LDR, BOPO, Growth of DPK and Profitability influence jointly to Company Value (TOBIN)</w:t>
      </w:r>
      <w:r w:rsidR="00203B85">
        <w:rPr>
          <w:rFonts w:eastAsia="Arial Unicode MS"/>
          <w:color w:val="000000"/>
          <w:spacing w:val="-3"/>
          <w:lang w:val="id-ID"/>
        </w:rPr>
        <w:t>.</w:t>
      </w:r>
    </w:p>
    <w:p w14:paraId="3F16A882" w14:textId="77777777" w:rsidR="00C26348" w:rsidRDefault="00C26348" w:rsidP="00417269">
      <w:pPr>
        <w:pStyle w:val="ListParagraph"/>
        <w:ind w:left="0"/>
        <w:jc w:val="both"/>
        <w:rPr>
          <w:rFonts w:eastAsia="Arial Unicode MS"/>
          <w:color w:val="000000"/>
          <w:spacing w:val="-3"/>
          <w:lang w:val="id-ID"/>
        </w:rPr>
      </w:pPr>
    </w:p>
    <w:p w14:paraId="634B5DF7" w14:textId="77777777" w:rsidR="009E17BF" w:rsidRPr="00582A0D" w:rsidRDefault="009E17BF" w:rsidP="00582A0D">
      <w:pPr>
        <w:pStyle w:val="ListParagraph"/>
        <w:numPr>
          <w:ilvl w:val="0"/>
          <w:numId w:val="39"/>
        </w:numPr>
        <w:ind w:left="426" w:hanging="426"/>
        <w:jc w:val="both"/>
        <w:rPr>
          <w:rFonts w:eastAsia="Arial Unicode MS"/>
          <w:b/>
          <w:color w:val="E36C0A"/>
          <w:spacing w:val="-3"/>
          <w:lang w:val="id-ID"/>
        </w:rPr>
      </w:pPr>
      <w:r w:rsidRPr="00582A0D">
        <w:rPr>
          <w:rFonts w:eastAsia="Arial Unicode MS"/>
          <w:b/>
          <w:color w:val="E36C0A"/>
          <w:spacing w:val="-3"/>
          <w:lang w:val="id-ID"/>
        </w:rPr>
        <w:t>RESEARCH METHODS</w:t>
      </w:r>
    </w:p>
    <w:p w14:paraId="5D60A54B" w14:textId="77777777" w:rsidR="00582A0D" w:rsidRDefault="00EE07BE" w:rsidP="00417269">
      <w:pPr>
        <w:pStyle w:val="ListParagraph"/>
        <w:ind w:left="0"/>
        <w:jc w:val="both"/>
        <w:rPr>
          <w:rFonts w:eastAsia="Arial Unicode MS"/>
          <w:color w:val="000000"/>
          <w:spacing w:val="-3"/>
          <w:lang w:val="id-ID"/>
        </w:rPr>
      </w:pPr>
      <w:r>
        <w:rPr>
          <w:rFonts w:eastAsia="Arial Unicode MS"/>
          <w:color w:val="000000"/>
          <w:spacing w:val="-3"/>
          <w:lang w:val="id-ID"/>
        </w:rPr>
        <w:t xml:space="preserve">     </w:t>
      </w:r>
    </w:p>
    <w:p w14:paraId="5FB222E8" w14:textId="77777777" w:rsidR="00C26348" w:rsidRDefault="009E17BF" w:rsidP="00417269">
      <w:pPr>
        <w:pStyle w:val="ListParagraph"/>
        <w:ind w:left="0"/>
        <w:jc w:val="both"/>
        <w:rPr>
          <w:rFonts w:eastAsia="Arial Unicode MS"/>
          <w:color w:val="000000"/>
          <w:spacing w:val="-3"/>
          <w:lang w:val="id-ID"/>
        </w:rPr>
      </w:pPr>
      <w:r w:rsidRPr="009E17BF">
        <w:rPr>
          <w:rFonts w:eastAsia="Arial Unicode MS"/>
          <w:color w:val="000000"/>
          <w:spacing w:val="-3"/>
          <w:lang w:val="id-ID"/>
        </w:rPr>
        <w:lastRenderedPageBreak/>
        <w:t>This research is done by descriptive and associative method with quantitative data method approach. Descriptive and associative methods are used to estimate and analyze the effect of profitability and its implications on firm value. Profitability is influenced by 6 (six) variables: Company Growth (FG), CAR, NPL, LDR, BOPO, Gainment of DPK and Profitability is measured by Return On Assets (ROA) while company value</w:t>
      </w:r>
      <w:r w:rsidR="000D6068">
        <w:rPr>
          <w:rFonts w:eastAsia="Arial Unicode MS"/>
          <w:color w:val="000000"/>
          <w:spacing w:val="-3"/>
          <w:lang w:val="id-ID"/>
        </w:rPr>
        <w:t>s</w:t>
      </w:r>
      <w:r w:rsidRPr="009E17BF">
        <w:rPr>
          <w:rFonts w:eastAsia="Arial Unicode MS"/>
          <w:color w:val="000000"/>
          <w:spacing w:val="-3"/>
          <w:lang w:val="id-ID"/>
        </w:rPr>
        <w:t xml:space="preserve"> is measured by Tobin's Q</w:t>
      </w:r>
      <w:r w:rsidR="00582A0D">
        <w:rPr>
          <w:rFonts w:eastAsia="Arial Unicode MS"/>
          <w:color w:val="000000"/>
          <w:spacing w:val="-3"/>
          <w:lang w:val="id-ID"/>
        </w:rPr>
        <w:t>.</w:t>
      </w:r>
    </w:p>
    <w:p w14:paraId="4FF2175D" w14:textId="77777777" w:rsidR="00582A0D" w:rsidRDefault="00582A0D" w:rsidP="00417269">
      <w:pPr>
        <w:pStyle w:val="ListParagraph"/>
        <w:ind w:left="0"/>
        <w:jc w:val="both"/>
        <w:rPr>
          <w:rFonts w:eastAsia="Arial Unicode MS"/>
          <w:i/>
          <w:color w:val="000000"/>
          <w:spacing w:val="-3"/>
          <w:lang w:val="id-ID"/>
        </w:rPr>
      </w:pPr>
    </w:p>
    <w:p w14:paraId="15773902" w14:textId="77777777" w:rsidR="00FF0222" w:rsidRDefault="009E17BF" w:rsidP="00442DFA">
      <w:pPr>
        <w:pStyle w:val="ListParagraph"/>
        <w:ind w:left="0"/>
        <w:jc w:val="both"/>
        <w:rPr>
          <w:rFonts w:eastAsia="Arial Unicode MS"/>
          <w:color w:val="000000"/>
          <w:spacing w:val="-3"/>
          <w:lang w:val="id-ID"/>
        </w:rPr>
      </w:pPr>
      <w:r w:rsidRPr="009E17BF">
        <w:rPr>
          <w:rFonts w:eastAsia="Arial Unicode MS"/>
          <w:color w:val="000000"/>
          <w:spacing w:val="-3"/>
          <w:lang w:val="id-ID"/>
        </w:rPr>
        <w:t>The population of research in banking sector companies listed on the BEI during the period 2010-2015 as many as 42 banks. Sampling method is by using purposive sampling method by selecting certain samples according to the criteria determined and obtained 27 banks</w:t>
      </w:r>
      <w:r w:rsidR="00BE5C0C">
        <w:rPr>
          <w:rFonts w:eastAsia="Arial Unicode MS"/>
          <w:color w:val="000000"/>
          <w:spacing w:val="-3"/>
          <w:lang w:val="id-ID"/>
        </w:rPr>
        <w:t>.</w:t>
      </w:r>
    </w:p>
    <w:p w14:paraId="19D2BC9F" w14:textId="77777777" w:rsidR="00582A0D" w:rsidRDefault="00582A0D" w:rsidP="00442DFA">
      <w:pPr>
        <w:pStyle w:val="ListParagraph"/>
        <w:ind w:left="0"/>
        <w:jc w:val="both"/>
        <w:rPr>
          <w:rFonts w:eastAsia="Arial Unicode MS"/>
          <w:b/>
          <w:color w:val="000000"/>
          <w:spacing w:val="-3"/>
          <w:lang w:val="id-ID"/>
        </w:rPr>
      </w:pPr>
    </w:p>
    <w:p w14:paraId="449AF0C2" w14:textId="77777777" w:rsidR="00442DFA" w:rsidRPr="00582A0D" w:rsidRDefault="009E17BF" w:rsidP="00442DFA">
      <w:pPr>
        <w:pStyle w:val="ListParagraph"/>
        <w:ind w:left="0"/>
        <w:jc w:val="both"/>
        <w:rPr>
          <w:rFonts w:eastAsia="Arial Unicode MS"/>
          <w:b/>
          <w:color w:val="E36C0A"/>
          <w:spacing w:val="-3"/>
          <w:lang w:val="id-ID"/>
        </w:rPr>
      </w:pPr>
      <w:r w:rsidRPr="00582A0D">
        <w:rPr>
          <w:rFonts w:eastAsia="Arial Unicode MS"/>
          <w:b/>
          <w:color w:val="E36C0A"/>
          <w:spacing w:val="-3"/>
          <w:lang w:val="id-ID"/>
        </w:rPr>
        <w:t>Panel Data Regression Model</w:t>
      </w:r>
    </w:p>
    <w:p w14:paraId="071329E2" w14:textId="77777777" w:rsidR="00AA468D" w:rsidRDefault="009E17BF" w:rsidP="00AA468D">
      <w:pPr>
        <w:widowControl w:val="0"/>
        <w:autoSpaceDE w:val="0"/>
        <w:autoSpaceDN w:val="0"/>
        <w:adjustRightInd w:val="0"/>
        <w:spacing w:before="37"/>
        <w:jc w:val="both"/>
        <w:rPr>
          <w:rFonts w:eastAsia="Arial Unicode MS"/>
          <w:color w:val="000000"/>
          <w:spacing w:val="-3"/>
          <w:lang w:val="id-ID"/>
        </w:rPr>
      </w:pPr>
      <w:r w:rsidRPr="009E17BF">
        <w:rPr>
          <w:rFonts w:eastAsia="Arial Unicode MS"/>
          <w:color w:val="000000"/>
          <w:spacing w:val="-3"/>
          <w:lang w:val="id-ID"/>
        </w:rPr>
        <w:t>The panel data regression method is a</w:t>
      </w:r>
      <w:r w:rsidR="00C378EA">
        <w:rPr>
          <w:rFonts w:eastAsia="Arial Unicode MS"/>
          <w:color w:val="000000"/>
          <w:spacing w:val="-3"/>
          <w:lang w:val="id-ID"/>
        </w:rPr>
        <w:t xml:space="preserve"> regression analysis method of</w:t>
      </w:r>
      <w:r w:rsidRPr="009E17BF">
        <w:rPr>
          <w:rFonts w:eastAsia="Arial Unicode MS"/>
          <w:color w:val="000000"/>
          <w:spacing w:val="-3"/>
          <w:lang w:val="id-ID"/>
        </w:rPr>
        <w:t xml:space="preserve"> a combination of time series and cross section, in which data are processed from time series including one object / partial (FG, CAR, NPL, LDR, BOPO, DG, ROA and TOBIN) at some period (annual) while cross-space data is from some object or unit (banking sector company) with some kind of data in certain period of time. The estimation models are often used in panel data regression methods, namely Fixed Effects Model (FEM) and Random Effect Model (REM). FEM assumes that the individual effects of each firm are related to the variables in the model, while REM assumes that the individual effects of each firm are independent of the variables in the model. Both of </w:t>
      </w:r>
      <w:r w:rsidR="00F53589">
        <w:rPr>
          <w:rFonts w:eastAsia="Arial Unicode MS"/>
          <w:color w:val="000000"/>
          <w:spacing w:val="-3"/>
          <w:lang w:val="id-ID"/>
        </w:rPr>
        <w:t>these methods will be applied to</w:t>
      </w:r>
      <w:r w:rsidRPr="009E17BF">
        <w:rPr>
          <w:rFonts w:eastAsia="Arial Unicode MS"/>
          <w:color w:val="000000"/>
          <w:spacing w:val="-3"/>
          <w:lang w:val="id-ID"/>
        </w:rPr>
        <w:t xml:space="preserve"> this research. The panel data regression models are as follows</w:t>
      </w:r>
      <w:r w:rsidR="00AA468D">
        <w:rPr>
          <w:rFonts w:eastAsia="Arial Unicode MS"/>
          <w:color w:val="000000"/>
          <w:spacing w:val="-3"/>
          <w:lang w:val="id-ID"/>
        </w:rPr>
        <w:t xml:space="preserve"> :</w:t>
      </w:r>
    </w:p>
    <w:p w14:paraId="053A69B2" w14:textId="77777777" w:rsidR="008A098D" w:rsidRPr="00AA468D" w:rsidRDefault="00AA468D" w:rsidP="00AA468D">
      <w:pPr>
        <w:pStyle w:val="ListParagraph"/>
        <w:widowControl w:val="0"/>
        <w:numPr>
          <w:ilvl w:val="0"/>
          <w:numId w:val="25"/>
        </w:numPr>
        <w:autoSpaceDE w:val="0"/>
        <w:autoSpaceDN w:val="0"/>
        <w:adjustRightInd w:val="0"/>
        <w:spacing w:before="37"/>
        <w:ind w:left="426" w:hanging="426"/>
        <w:jc w:val="both"/>
        <w:rPr>
          <w:rFonts w:eastAsia="Arial Unicode MS"/>
          <w:b/>
          <w:color w:val="000000"/>
          <w:spacing w:val="-3"/>
          <w:lang w:val="id-ID"/>
        </w:rPr>
      </w:pPr>
      <w:r w:rsidRPr="00AA468D">
        <w:rPr>
          <w:rFonts w:eastAsia="Arial Unicode MS"/>
          <w:i/>
          <w:color w:val="000000"/>
          <w:spacing w:val="-3"/>
          <w:lang w:val="id-ID"/>
        </w:rPr>
        <w:t>Pooled Least Square Model</w:t>
      </w:r>
      <w:r w:rsidRPr="00AA468D">
        <w:rPr>
          <w:rFonts w:eastAsia="Arial Unicode MS"/>
          <w:color w:val="000000"/>
          <w:spacing w:val="-3"/>
          <w:lang w:val="id-ID"/>
        </w:rPr>
        <w:t xml:space="preserve"> (PLSM) </w:t>
      </w:r>
    </w:p>
    <w:p w14:paraId="2CF573AF" w14:textId="4BD886BE" w:rsidR="00AA468D" w:rsidRPr="00AA468D" w:rsidRDefault="001F5D6A" w:rsidP="00AA468D">
      <w:pPr>
        <w:widowControl w:val="0"/>
        <w:autoSpaceDE w:val="0"/>
        <w:autoSpaceDN w:val="0"/>
        <w:adjustRightInd w:val="0"/>
        <w:spacing w:before="37"/>
        <w:jc w:val="both"/>
        <w:rPr>
          <w:rFonts w:eastAsia="Arial Unicode MS"/>
          <w:b/>
          <w:color w:val="000000"/>
          <w:spacing w:val="-3"/>
          <w:lang w:val="id-ID"/>
        </w:rPr>
      </w:pPr>
      <w:r>
        <w:rPr>
          <w:rFonts w:eastAsia="Arial Unicode MS"/>
          <w:b/>
          <w:noProof/>
          <w:color w:val="000000"/>
          <w:spacing w:val="-3"/>
        </w:rPr>
        <mc:AlternateContent>
          <mc:Choice Requires="wps">
            <w:drawing>
              <wp:anchor distT="0" distB="0" distL="114300" distR="114300" simplePos="0" relativeHeight="251651072" behindDoc="0" locked="0" layoutInCell="1" allowOverlap="1" wp14:anchorId="1E0CDB26" wp14:editId="29D8687A">
                <wp:simplePos x="0" y="0"/>
                <wp:positionH relativeFrom="column">
                  <wp:posOffset>41275</wp:posOffset>
                </wp:positionH>
                <wp:positionV relativeFrom="paragraph">
                  <wp:posOffset>182245</wp:posOffset>
                </wp:positionV>
                <wp:extent cx="2825750" cy="508635"/>
                <wp:effectExtent l="3175" t="4445" r="15875"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508635"/>
                        </a:xfrm>
                        <a:prstGeom prst="rect">
                          <a:avLst/>
                        </a:prstGeom>
                        <a:solidFill>
                          <a:srgbClr val="FFFFFF"/>
                        </a:solidFill>
                        <a:ln w="9525">
                          <a:solidFill>
                            <a:srgbClr val="000000"/>
                          </a:solidFill>
                          <a:miter lim="800000"/>
                          <a:headEnd/>
                          <a:tailEnd/>
                        </a:ln>
                      </wps:spPr>
                      <wps:txbx>
                        <w:txbxContent>
                          <w:p w14:paraId="1F4B9B43" w14:textId="77777777" w:rsidR="00A40E33" w:rsidRPr="00555568" w:rsidRDefault="00A40E33" w:rsidP="00907877">
                            <w:pPr>
                              <w:ind w:left="851" w:hanging="851"/>
                              <w:rPr>
                                <w:i/>
                                <w:vertAlign w:val="subscript"/>
                                <w:lang w:val="id-ID"/>
                              </w:rPr>
                            </w:pPr>
                            <w:r w:rsidRPr="00555568">
                              <w:rPr>
                                <w:i/>
                                <w:lang w:val="id-ID"/>
                              </w:rPr>
                              <w:t>ROA</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 xml:space="preserve">+ </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 xml:space="preserve">+ </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Pr>
                                <w:i/>
                                <w:lang w:val="id-ID"/>
                              </w:rPr>
                              <w:t xml:space="preserve"> +</w:t>
                            </w:r>
                            <w:r w:rsidRPr="00555568">
                              <w:rPr>
                                <w:i/>
                                <w:lang w:val="id-ID"/>
                              </w:rPr>
                              <w:t>ε</w:t>
                            </w:r>
                            <w:r w:rsidRPr="00555568">
                              <w:rPr>
                                <w:i/>
                                <w:vertAlign w:val="subscript"/>
                                <w:lang w:val="id-ID"/>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DB26" id="Rectangle 2" o:spid="_x0000_s1026" style="position:absolute;left:0;text-align:left;margin-left:3.25pt;margin-top:14.35pt;width:222.5pt;height:4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WzZycCAABIBAAADgAAAGRycy9lMm9Eb2MueG1srFTRbtMwFH1H4h8sv9OkWbN1UdNp6ihCGjAx&#10;+ADHcRILxzbXbpPx9Vw7WemAJ0QeLF/f6+Pjc66zuRl7RY4CnDS6pMtFSonQ3NRStyX9+mX/Zk2J&#10;80zXTBktSvokHL3Zvn61GWwhMtMZVQsgCKJdMdiSdt7bIkkc70TP3MJYoTHZGOiZxxDapAY2IHqv&#10;kixNL5PBQG3BcOEcrt5NSbqN+E0juP/UNE54okqK3HwcIY5VGJPthhUtMNtJPtNg/8CiZ1LjoSeo&#10;O+YZOYD8A6qXHIwzjV9w0yemaSQX8Q54m2X6220eO2ZFvAuK4+xJJvf/YPnH4wMQWaN3F5Ro1qNH&#10;n1E1plslSBb0GawrsOzRPkC4obP3hn9zRJtdh1XiFsAMnWA1slqG+uTFhhA43Eqq4YOpEZ0dvIlS&#10;jQ30ARBFIGN05OnkiBg94biYrbP8KkfjOObydH15kccjWPG824Lz74TpSZiUFJB7RGfHe+cDG1Y8&#10;l0T2Rsl6L5WKAbTVTgE5MuyOffxmdHdepjQZSnqdZ3lEfpFz5xBp/P4G0UuPba5kX9L1qYgVQba3&#10;uo5N6JlU0xwpKz3rGKSbLPBjNc5uVKZ+QkXBTO2Mzw8nnYEflAzYyiV13w8MBCXqvUZXrperVej9&#10;GKzyqwwDOM9U5xmmOUKV1FMyTXd+ei8HC7Lt8KRllEGbW3SykVHk4PLEauaN7Rq1n59WeA/ncaz6&#10;9QPY/gQAAP//AwBQSwMEFAAGAAgAAAAhAPG+mhPdAAAACAEAAA8AAABkcnMvZG93bnJldi54bWxM&#10;j8FOwzAMhu9IvENkJG4sWWGjlKYTAg2J49ZduLmNaQtNUjXpVnh6zGkc7f/T78/5Zra9ONIYOu80&#10;LBcKBLnam841Gg7l9iYFESI6g713pOGbAmyKy4scM+NPbkfHfWwEl7iQoYY2xiGTMtQtWQwLP5Dj&#10;7MOPFiOPYyPNiCcut71MlFpLi53jCy0O9NxS/bWfrIaqSw74sytflX3Y3sa3ufyc3l+0vr6anx5B&#10;RJrjGYY/fVaHgp0qPzkTRK9hvWJQQ5Leg+D4brXkRcWcSlOQRS7/P1D8AgAA//8DAFBLAQItABQA&#10;BgAIAAAAIQDkmcPA+wAAAOEBAAATAAAAAAAAAAAAAAAAAAAAAABbQ29udGVudF9UeXBlc10ueG1s&#10;UEsBAi0AFAAGAAgAAAAhACOyauHXAAAAlAEAAAsAAAAAAAAAAAAAAAAALAEAAF9yZWxzLy5yZWxz&#10;UEsBAi0AFAAGAAgAAAAhAB11s2cnAgAASAQAAA4AAAAAAAAAAAAAAAAALAIAAGRycy9lMm9Eb2Mu&#10;eG1sUEsBAi0AFAAGAAgAAAAhAPG+mhPdAAAACAEAAA8AAAAAAAAAAAAAAAAAfwQAAGRycy9kb3du&#10;cmV2LnhtbFBLBQYAAAAABAAEAPMAAACJBQAAAAA=&#10;">
                <v:textbox>
                  <w:txbxContent>
                    <w:p w14:paraId="1F4B9B43" w14:textId="77777777" w:rsidR="00A40E33" w:rsidRPr="00555568" w:rsidRDefault="00A40E33" w:rsidP="00907877">
                      <w:pPr>
                        <w:ind w:left="851" w:hanging="851"/>
                        <w:rPr>
                          <w:i/>
                          <w:vertAlign w:val="subscript"/>
                          <w:lang w:val="id-ID"/>
                        </w:rPr>
                      </w:pPr>
                      <w:r w:rsidRPr="00555568">
                        <w:rPr>
                          <w:i/>
                          <w:lang w:val="id-ID"/>
                        </w:rPr>
                        <w:t>ROA</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 xml:space="preserve">+ </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 xml:space="preserve">+ </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Pr>
                          <w:i/>
                          <w:lang w:val="id-ID"/>
                        </w:rPr>
                        <w:t xml:space="preserve"> +</w:t>
                      </w:r>
                      <w:r w:rsidRPr="00555568">
                        <w:rPr>
                          <w:i/>
                          <w:lang w:val="id-ID"/>
                        </w:rPr>
                        <w:t>ε</w:t>
                      </w:r>
                      <w:r w:rsidRPr="00555568">
                        <w:rPr>
                          <w:i/>
                          <w:vertAlign w:val="subscript"/>
                          <w:lang w:val="id-ID"/>
                        </w:rPr>
                        <w:t>it</w:t>
                      </w:r>
                    </w:p>
                  </w:txbxContent>
                </v:textbox>
              </v:rect>
            </w:pict>
          </mc:Fallback>
        </mc:AlternateContent>
      </w:r>
    </w:p>
    <w:p w14:paraId="5F63C5E2" w14:textId="77777777" w:rsidR="00AA468D" w:rsidRPr="00AA468D" w:rsidRDefault="00AA468D" w:rsidP="00AA468D">
      <w:pPr>
        <w:widowControl w:val="0"/>
        <w:autoSpaceDE w:val="0"/>
        <w:autoSpaceDN w:val="0"/>
        <w:adjustRightInd w:val="0"/>
        <w:spacing w:before="37"/>
        <w:jc w:val="both"/>
        <w:rPr>
          <w:rFonts w:eastAsia="Arial Unicode MS"/>
          <w:b/>
          <w:color w:val="000000"/>
          <w:spacing w:val="-3"/>
          <w:lang w:val="id-ID"/>
        </w:rPr>
      </w:pPr>
    </w:p>
    <w:p w14:paraId="11AB499E" w14:textId="77777777" w:rsidR="008A098D" w:rsidRPr="008A098D" w:rsidRDefault="008A098D" w:rsidP="008A098D">
      <w:pPr>
        <w:ind w:firstLine="426"/>
        <w:jc w:val="both"/>
        <w:rPr>
          <w:lang w:val="id-ID"/>
        </w:rPr>
      </w:pPr>
    </w:p>
    <w:p w14:paraId="7333F60E" w14:textId="77777777" w:rsidR="008A098D" w:rsidRPr="006935F4" w:rsidRDefault="008A098D" w:rsidP="008A098D">
      <w:pPr>
        <w:ind w:firstLine="426"/>
        <w:jc w:val="both"/>
        <w:rPr>
          <w:lang w:val="id-ID"/>
        </w:rPr>
      </w:pPr>
    </w:p>
    <w:p w14:paraId="2B73781D" w14:textId="7545C359" w:rsidR="006935F4" w:rsidRDefault="001F5D6A" w:rsidP="006935F4">
      <w:pPr>
        <w:ind w:left="426" w:hanging="426"/>
        <w:jc w:val="both"/>
      </w:pPr>
      <w:r>
        <w:rPr>
          <w:noProof/>
        </w:rPr>
        <mc:AlternateContent>
          <mc:Choice Requires="wps">
            <w:drawing>
              <wp:anchor distT="0" distB="0" distL="114300" distR="114300" simplePos="0" relativeHeight="251652096" behindDoc="0" locked="0" layoutInCell="1" allowOverlap="1" wp14:anchorId="6E4014DF" wp14:editId="6E2CD45A">
                <wp:simplePos x="0" y="0"/>
                <wp:positionH relativeFrom="column">
                  <wp:posOffset>41275</wp:posOffset>
                </wp:positionH>
                <wp:positionV relativeFrom="paragraph">
                  <wp:posOffset>66675</wp:posOffset>
                </wp:positionV>
                <wp:extent cx="2825750" cy="638175"/>
                <wp:effectExtent l="3175" t="3175" r="1587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638175"/>
                        </a:xfrm>
                        <a:prstGeom prst="rect">
                          <a:avLst/>
                        </a:prstGeom>
                        <a:solidFill>
                          <a:srgbClr val="FFFFFF"/>
                        </a:solidFill>
                        <a:ln w="9525">
                          <a:solidFill>
                            <a:srgbClr val="000000"/>
                          </a:solidFill>
                          <a:miter lim="800000"/>
                          <a:headEnd/>
                          <a:tailEnd/>
                        </a:ln>
                      </wps:spPr>
                      <wps:txbx>
                        <w:txbxContent>
                          <w:p w14:paraId="5FFFC947" w14:textId="77777777" w:rsidR="00A40E33" w:rsidRPr="00555568" w:rsidRDefault="00A40E33" w:rsidP="00457008">
                            <w:pPr>
                              <w:ind w:left="1080" w:hanging="1080"/>
                              <w:rPr>
                                <w:i/>
                                <w:vertAlign w:val="subscript"/>
                                <w:lang w:val="id-ID"/>
                              </w:rPr>
                            </w:pPr>
                            <w:r w:rsidRPr="008057DA">
                              <w:rPr>
                                <w:i/>
                                <w:lang w:val="id-ID"/>
                              </w:rPr>
                              <w:t>TOBIN</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sidRPr="00555568">
                              <w:rPr>
                                <w:i/>
                                <w:lang w:val="id-ID"/>
                              </w:rPr>
                              <w:t xml:space="preserve"> β</w:t>
                            </w:r>
                            <w:r w:rsidRPr="00555568">
                              <w:rPr>
                                <w:i/>
                                <w:vertAlign w:val="subscript"/>
                                <w:lang w:val="id-ID"/>
                              </w:rPr>
                              <w:t>2</w:t>
                            </w:r>
                            <w:r w:rsidRPr="00555568">
                              <w:rPr>
                                <w:i/>
                                <w:lang w:val="id-ID"/>
                              </w:rPr>
                              <w:t>CAR</w:t>
                            </w:r>
                            <w:r w:rsidRPr="00555568">
                              <w:rPr>
                                <w:i/>
                                <w:vertAlign w:val="subscript"/>
                                <w:lang w:val="id-ID"/>
                              </w:rPr>
                              <w:t>it</w:t>
                            </w:r>
                            <w:r>
                              <w:rPr>
                                <w:i/>
                                <w:lang w:val="id-ID"/>
                              </w:rPr>
                              <w:t xml:space="preserve">+ </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β</w:t>
                            </w:r>
                            <w:r>
                              <w:rPr>
                                <w:i/>
                                <w:vertAlign w:val="subscript"/>
                                <w:lang w:val="id-ID"/>
                              </w:rPr>
                              <w:t>7</w:t>
                            </w:r>
                            <w:r w:rsidRPr="00555568">
                              <w:rPr>
                                <w:i/>
                                <w:lang w:val="id-ID"/>
                              </w:rPr>
                              <w:t>ROA</w:t>
                            </w:r>
                            <w:r w:rsidRPr="00555568">
                              <w:rPr>
                                <w:i/>
                                <w:vertAlign w:val="subscript"/>
                                <w:lang w:val="id-ID"/>
                              </w:rPr>
                              <w:t>it</w:t>
                            </w:r>
                            <w:r>
                              <w:rPr>
                                <w:lang w:val="id-ID"/>
                              </w:rPr>
                              <w:t xml:space="preserve">  +  </w:t>
                            </w:r>
                            <w:r w:rsidRPr="00555568">
                              <w:rPr>
                                <w:i/>
                                <w:lang w:val="id-ID"/>
                              </w:rPr>
                              <w:t>ε</w:t>
                            </w:r>
                            <w:r w:rsidRPr="00555568">
                              <w:rPr>
                                <w:i/>
                                <w:vertAlign w:val="subscript"/>
                                <w:lang w:val="id-ID"/>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14DF" id="Rectangle 3" o:spid="_x0000_s1027" style="position:absolute;left:0;text-align:left;margin-left:3.25pt;margin-top:5.25pt;width:222.5pt;height:5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OTMCoCAABPBAAADgAAAGRycy9lMm9Eb2MueG1srFRRb9MwEH5H4j9YfqdpsmbroqbT1FGENGBi&#10;8AMcx0ksHNuc3Sbl1+/sdF0HPCHyYPl8589333eX1c3YK7IX4KTRJU1nc0qE5qaWui3p92/bd0tK&#10;nGe6ZspoUdKDcPRm/fbNarCFyExnVC2AIIh2xWBL2nlviyRxvBM9czNjhUZnY6BnHk1okxrYgOi9&#10;SrL5/DIZDNQWDBfO4end5KTriN80gvsvTeOEJ6qkmJuPK8S1CmuyXrGiBWY7yY9psH/IomdS46Mn&#10;qDvmGdmB/AOqlxyMM42fcdMnpmkkF7EGrCad/1bNY8esiLUgOc6eaHL/D5Z/3j8AkTVql1GiWY8a&#10;fUXWmG6VIBeBn8G6AsMe7QOECp29N/yHI9psOowStwBm6ASrMas0xCevLgTD4VVSDZ9Mjehs502k&#10;amygD4BIAhmjIoeTImL0hONhtszyqxyF4+i7vFimV3l8ghXPty04/0GYnoRNSQFzj+hsf+98yIYV&#10;zyExe6NkvZVKRQPaaqOA7Bl2xzZ+R3R3HqY0GUp6nWd5RH7lc+cQ8/j9DaKXHttcyb6ky1MQKwJt&#10;73Udm9AzqaY9pqz0kcdA3SSBH6txEio8EGitTH1AYsFMXY1TiJvOwC9KBuzokrqfOwaCEvVRozjX&#10;6WIRRiAai/wqQwPOPdW5h2mOUCX1lEzbjZ/GZmdBth2+lEY2tLlFQRsZuX7J6pg+dm2U4DhhYSzO&#10;7Rj18h9YPwEAAP//AwBQSwMEFAAGAAgAAAAhAAwDNsPbAAAACAEAAA8AAABkcnMvZG93bnJldi54&#10;bWxMT0FOw0AMvCPxh5WRuNHdFFpByKZCoCJxbNMLNycxSSDrjbKbNvB6zKmcbM+MZsbZZna9OtIY&#10;Os8WkoUBRVz5uuPGwqHY3tyDChG5xt4zWfimAJv88iLDtPYn3tFxHxslJhxStNDGOKRah6olh2Hh&#10;B2LhPvzoMMo5Nroe8STmrtdLY9baYceS0OJAzy1VX/vJWSi75QF/dsWrcQ/b2/g2F5/T+4u111fz&#10;0yOoSHM8i+GvvlSHXDqVfuI6qN7CeiVCgY1Moe9WiSylAEliQOeZ/v9A/gsAAP//AwBQSwECLQAU&#10;AAYACAAAACEA5JnDwPsAAADhAQAAEwAAAAAAAAAAAAAAAAAAAAAAW0NvbnRlbnRfVHlwZXNdLnht&#10;bFBLAQItABQABgAIAAAAIQAjsmrh1wAAAJQBAAALAAAAAAAAAAAAAAAAACwBAABfcmVscy8ucmVs&#10;c1BLAQItABQABgAIAAAAIQBfQ5MwKgIAAE8EAAAOAAAAAAAAAAAAAAAAACwCAABkcnMvZTJvRG9j&#10;LnhtbFBLAQItABQABgAIAAAAIQAMAzbD2wAAAAgBAAAPAAAAAAAAAAAAAAAAAIIEAABkcnMvZG93&#10;bnJldi54bWxQSwUGAAAAAAQABADzAAAAigUAAAAA&#10;">
                <v:textbox>
                  <w:txbxContent>
                    <w:p w14:paraId="5FFFC947" w14:textId="77777777" w:rsidR="00A40E33" w:rsidRPr="00555568" w:rsidRDefault="00A40E33" w:rsidP="00457008">
                      <w:pPr>
                        <w:ind w:left="1080" w:hanging="1080"/>
                        <w:rPr>
                          <w:i/>
                          <w:vertAlign w:val="subscript"/>
                          <w:lang w:val="id-ID"/>
                        </w:rPr>
                      </w:pPr>
                      <w:r w:rsidRPr="008057DA">
                        <w:rPr>
                          <w:i/>
                          <w:lang w:val="id-ID"/>
                        </w:rPr>
                        <w:t>TOBIN</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sidRPr="00555568">
                        <w:rPr>
                          <w:i/>
                          <w:lang w:val="id-ID"/>
                        </w:rPr>
                        <w:t xml:space="preserve"> β</w:t>
                      </w:r>
                      <w:r w:rsidRPr="00555568">
                        <w:rPr>
                          <w:i/>
                          <w:vertAlign w:val="subscript"/>
                          <w:lang w:val="id-ID"/>
                        </w:rPr>
                        <w:t>2</w:t>
                      </w:r>
                      <w:r w:rsidRPr="00555568">
                        <w:rPr>
                          <w:i/>
                          <w:lang w:val="id-ID"/>
                        </w:rPr>
                        <w:t>CAR</w:t>
                      </w:r>
                      <w:r w:rsidRPr="00555568">
                        <w:rPr>
                          <w:i/>
                          <w:vertAlign w:val="subscript"/>
                          <w:lang w:val="id-ID"/>
                        </w:rPr>
                        <w:t>it</w:t>
                      </w:r>
                      <w:r>
                        <w:rPr>
                          <w:i/>
                          <w:lang w:val="id-ID"/>
                        </w:rPr>
                        <w:t xml:space="preserve">+ </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β</w:t>
                      </w:r>
                      <w:r>
                        <w:rPr>
                          <w:i/>
                          <w:vertAlign w:val="subscript"/>
                          <w:lang w:val="id-ID"/>
                        </w:rPr>
                        <w:t>7</w:t>
                      </w:r>
                      <w:r w:rsidRPr="00555568">
                        <w:rPr>
                          <w:i/>
                          <w:lang w:val="id-ID"/>
                        </w:rPr>
                        <w:t>ROA</w:t>
                      </w:r>
                      <w:r w:rsidRPr="00555568">
                        <w:rPr>
                          <w:i/>
                          <w:vertAlign w:val="subscript"/>
                          <w:lang w:val="id-ID"/>
                        </w:rPr>
                        <w:t>it</w:t>
                      </w:r>
                      <w:r>
                        <w:rPr>
                          <w:lang w:val="id-ID"/>
                        </w:rPr>
                        <w:t xml:space="preserve">  +  </w:t>
                      </w:r>
                      <w:r w:rsidRPr="00555568">
                        <w:rPr>
                          <w:i/>
                          <w:lang w:val="id-ID"/>
                        </w:rPr>
                        <w:t>ε</w:t>
                      </w:r>
                      <w:r w:rsidRPr="00555568">
                        <w:rPr>
                          <w:i/>
                          <w:vertAlign w:val="subscript"/>
                          <w:lang w:val="id-ID"/>
                        </w:rPr>
                        <w:t>it</w:t>
                      </w:r>
                    </w:p>
                  </w:txbxContent>
                </v:textbox>
              </v:rect>
            </w:pict>
          </mc:Fallback>
        </mc:AlternateContent>
      </w:r>
    </w:p>
    <w:p w14:paraId="07D3C249" w14:textId="77777777" w:rsidR="00DB69AF" w:rsidRPr="00DB69AF" w:rsidRDefault="00DB69AF" w:rsidP="00AF5BEE">
      <w:pPr>
        <w:ind w:firstLine="720"/>
        <w:jc w:val="both"/>
      </w:pPr>
    </w:p>
    <w:p w14:paraId="61D12483" w14:textId="77777777" w:rsidR="00DB69AF" w:rsidRPr="00DB69AF" w:rsidRDefault="00DB69AF" w:rsidP="00DB69AF">
      <w:pPr>
        <w:ind w:firstLine="426"/>
        <w:jc w:val="both"/>
      </w:pPr>
    </w:p>
    <w:p w14:paraId="2F72A60F" w14:textId="77777777" w:rsidR="007A7CF2" w:rsidRDefault="007A7CF2" w:rsidP="00DB69AF">
      <w:pPr>
        <w:ind w:firstLine="426"/>
        <w:jc w:val="both"/>
      </w:pPr>
    </w:p>
    <w:p w14:paraId="5C595993" w14:textId="77777777" w:rsidR="00AF5BEE" w:rsidRDefault="00AF5BEE" w:rsidP="00DB69AF">
      <w:pPr>
        <w:ind w:firstLine="426"/>
        <w:jc w:val="both"/>
      </w:pPr>
    </w:p>
    <w:p w14:paraId="6ACE4B38" w14:textId="77777777" w:rsidR="007A7CF2" w:rsidRPr="000A74A6" w:rsidRDefault="00555568" w:rsidP="00555568">
      <w:pPr>
        <w:pStyle w:val="ListParagraph"/>
        <w:numPr>
          <w:ilvl w:val="0"/>
          <w:numId w:val="25"/>
        </w:numPr>
        <w:ind w:left="426" w:hanging="426"/>
        <w:jc w:val="both"/>
      </w:pPr>
      <w:r w:rsidRPr="00555568">
        <w:rPr>
          <w:i/>
        </w:rPr>
        <w:t>Fixed Effect Model</w:t>
      </w:r>
      <w:r>
        <w:t xml:space="preserve"> (FEM)</w:t>
      </w:r>
    </w:p>
    <w:p w14:paraId="072895FD" w14:textId="25BD7DDC" w:rsidR="00AF5BEE" w:rsidRDefault="001F5D6A" w:rsidP="002B12FE">
      <w:pPr>
        <w:ind w:firstLine="540"/>
        <w:jc w:val="both"/>
        <w:rPr>
          <w:lang w:val="id-ID"/>
        </w:rPr>
      </w:pPr>
      <w:r>
        <w:rPr>
          <w:noProof/>
        </w:rPr>
        <mc:AlternateContent>
          <mc:Choice Requires="wps">
            <w:drawing>
              <wp:anchor distT="0" distB="0" distL="114300" distR="114300" simplePos="0" relativeHeight="251653120" behindDoc="0" locked="0" layoutInCell="1" allowOverlap="1" wp14:anchorId="2B6DA793" wp14:editId="48DB7E33">
                <wp:simplePos x="0" y="0"/>
                <wp:positionH relativeFrom="column">
                  <wp:posOffset>9525</wp:posOffset>
                </wp:positionH>
                <wp:positionV relativeFrom="paragraph">
                  <wp:posOffset>125730</wp:posOffset>
                </wp:positionV>
                <wp:extent cx="2857500" cy="638175"/>
                <wp:effectExtent l="0" t="0" r="15875" b="107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38175"/>
                        </a:xfrm>
                        <a:prstGeom prst="rect">
                          <a:avLst/>
                        </a:prstGeom>
                        <a:solidFill>
                          <a:srgbClr val="FFFFFF"/>
                        </a:solidFill>
                        <a:ln w="9525">
                          <a:solidFill>
                            <a:srgbClr val="000000"/>
                          </a:solidFill>
                          <a:miter lim="800000"/>
                          <a:headEnd/>
                          <a:tailEnd/>
                        </a:ln>
                      </wps:spPr>
                      <wps:txbx>
                        <w:txbxContent>
                          <w:p w14:paraId="227758D9" w14:textId="77777777" w:rsidR="00A40E33" w:rsidRPr="008057DA" w:rsidRDefault="00A40E33" w:rsidP="00AF5BEE">
                            <w:pPr>
                              <w:ind w:left="851" w:hanging="851"/>
                              <w:rPr>
                                <w:lang w:val="id-ID"/>
                              </w:rPr>
                            </w:pPr>
                            <w:r w:rsidRPr="00555568">
                              <w:rPr>
                                <w:i/>
                                <w:lang w:val="id-ID"/>
                              </w:rPr>
                              <w:t>ROA</w:t>
                            </w:r>
                            <w:r w:rsidRPr="00555568">
                              <w:rPr>
                                <w:i/>
                                <w:vertAlign w:val="subscript"/>
                                <w:lang w:val="id-ID"/>
                              </w:rPr>
                              <w:t>it</w:t>
                            </w:r>
                            <w:r w:rsidRPr="00555568">
                              <w:rPr>
                                <w:i/>
                                <w:lang w:val="id-ID"/>
                              </w:rPr>
                              <w:t xml:space="preserve"> = β</w:t>
                            </w:r>
                            <w:r w:rsidRPr="00555568">
                              <w:rPr>
                                <w:i/>
                                <w:vertAlign w:val="subscript"/>
                                <w:lang w:val="id-ID"/>
                              </w:rPr>
                              <w:t>0</w:t>
                            </w:r>
                            <w:r w:rsidRPr="00555568">
                              <w:rPr>
                                <w:i/>
                                <w:lang w:val="id-ID"/>
                              </w:rPr>
                              <w:t xml:space="preserve"> + 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sidRPr="00555568">
                              <w:rPr>
                                <w:i/>
                                <w:vertAlign w:val="subscript"/>
                                <w:lang w:val="id-ID"/>
                              </w:rPr>
                              <w:t xml:space="preserve">it </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Pr>
                                <w:i/>
                                <w:lang w:val="id-ID"/>
                              </w:rPr>
                              <w:t xml:space="preserve"> </w:t>
                            </w:r>
                            <w:r w:rsidRPr="00555568">
                              <w:rPr>
                                <w:i/>
                                <w:lang w:val="id-ID"/>
                              </w:rPr>
                              <w:t>+ ε</w:t>
                            </w:r>
                            <w:r w:rsidRPr="00555568">
                              <w:rPr>
                                <w:i/>
                                <w:vertAlign w:val="subscript"/>
                                <w:lang w:val="id-ID"/>
                              </w:rPr>
                              <w:t>it</w:t>
                            </w:r>
                            <w:r>
                              <w:rPr>
                                <w:i/>
                                <w:vertAlign w:val="subscript"/>
                                <w:lang w:val="id-ID"/>
                              </w:rPr>
                              <w:t xml:space="preserve"> </w:t>
                            </w:r>
                            <w:r w:rsidRPr="008057DA">
                              <w:rPr>
                                <w:lang w:val="id-ID"/>
                              </w:rPr>
                              <w:t>+ Σ</w:t>
                            </w:r>
                            <w:r w:rsidRPr="008057DA">
                              <w:rPr>
                                <w:vertAlign w:val="subscript"/>
                                <w:lang w:val="id-ID"/>
                              </w:rPr>
                              <w:t>i+7</w:t>
                            </w:r>
                            <w:r w:rsidRPr="008057DA">
                              <w:rPr>
                                <w:lang w:val="id-ID"/>
                              </w:rPr>
                              <w:t>D</w:t>
                            </w:r>
                            <w:r w:rsidRPr="008057DA">
                              <w:rPr>
                                <w:vertAlign w:val="subscript"/>
                                <w:lang w:val="id-ID"/>
                              </w:rPr>
                              <w:t>i</w:t>
                            </w:r>
                            <w:r w:rsidRPr="008057DA">
                              <w:rPr>
                                <w:lang w:val="id-ID"/>
                              </w:rPr>
                              <w:t xml:space="preserve"> + </w:t>
                            </w:r>
                            <w:r w:rsidRPr="00555568">
                              <w:rPr>
                                <w:i/>
                                <w:lang w:val="id-ID"/>
                              </w:rPr>
                              <w:t>ε</w:t>
                            </w:r>
                            <w:r w:rsidRPr="00555568">
                              <w:rPr>
                                <w:i/>
                                <w:vertAlign w:val="subscript"/>
                                <w:lang w:val="id-ID"/>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DA793" id="Rectangle 4" o:spid="_x0000_s1028" style="position:absolute;left:0;text-align:left;margin-left:.75pt;margin-top:9.9pt;width:22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O+VSsCAABPBAAADgAAAGRycy9lMm9Eb2MueG1srFTbjtMwEH1H4h8sv9NcaLbdqOlq1aUIaYEV&#10;Cx/gOE5i4dhm7DYtX8/Y6Xa7wBMiD5bHMz6eOWcmq5vDoMhegJNGVzSbpZQIzU0jdVfRb1+3b5aU&#10;OM90w5TRoqJH4ejN+vWr1WhLkZveqEYAQRDtytFWtPfelknieC8G5mbGCo3O1sDAPJrQJQ2wEdEH&#10;leRpepWMBhoLhgvn8PRuctJ1xG9bwf3ntnXCE1VRzM3HFeJahzVZr1jZAbO95Kc02D9kMTCp8dEz&#10;1B3zjOxA/gE1SA7GmdbPuBkS07aSi1gDVpOlv1Xz2DMrYi1IjrNnmtz/g+Wf9g9AZIPaZZRoNqBG&#10;X5A1pjslyDzwM1pXYtijfYBQobP3hn93RJtNj1HiFsCMvWANZpWF+OTFhWA4vErq8aNpEJ3tvIlU&#10;HVoYAiCSQA5RkeNZEXHwhONhviwWRYrCcfRdvV1miyI+wcqn2xacfy/MQMKmooC5R3S2v3c+ZMPK&#10;p5CYvVGy2UqlogFdvVFA9gy7Yxu/E7q7DFOajBW9LvIiIr/wuUuINH5/gxikxzZXcqjo8hzEykDb&#10;O93EJvRMqmmPKSt94jFQN0ngD/UhCpWHBwKttWmOSCyYqatxCnHTG/hJyYgdXVH3Y8dAUKI+aBTn&#10;OpvPwwhEY14scjTg0lNfepjmCFVRT8m03fhpbHYWZNfjS1lkQ5tbFLSVkevnrE7pY9dGCU4TFsbi&#10;0o5Rz/+B9S8AAAD//wMAUEsDBBQABgAIAAAAIQASE/jS2gAAAAgBAAAPAAAAZHJzL2Rvd25yZXYu&#10;eG1sTE9NT4NAEL2b+B82Y+LNLlJrLLI0RlMTjy29eBvYEVB2lrBLi/56pyc9Td5H3ryXb2bXqyON&#10;ofNs4HaRgCKuve24MXAotzcPoEJEtth7JgPfFGBTXF7kmFl/4h0d97FREsIhQwNtjEOmdahbchgW&#10;fiAW7cOPDqPAsdF2xJOEu16nSXKvHXYsH1oc6Lml+ms/OQNVlx7wZ1e+Jm69Xca3ufyc3l+Mub6a&#10;nx5BRZrjnxnO9aU6FNKp8hPboHrBKzHKWcsAke9WZ6ISIk2WoItc/x9Q/AIAAP//AwBQSwECLQAU&#10;AAYACAAAACEA5JnDwPsAAADhAQAAEwAAAAAAAAAAAAAAAAAAAAAAW0NvbnRlbnRfVHlwZXNdLnht&#10;bFBLAQItABQABgAIAAAAIQAjsmrh1wAAAJQBAAALAAAAAAAAAAAAAAAAACwBAABfcmVscy8ucmVs&#10;c1BLAQItABQABgAIAAAAIQCJU75VKwIAAE8EAAAOAAAAAAAAAAAAAAAAACwCAABkcnMvZTJvRG9j&#10;LnhtbFBLAQItABQABgAIAAAAIQASE/jS2gAAAAgBAAAPAAAAAAAAAAAAAAAAAIMEAABkcnMvZG93&#10;bnJldi54bWxQSwUGAAAAAAQABADzAAAAigUAAAAA&#10;">
                <v:textbox>
                  <w:txbxContent>
                    <w:p w14:paraId="227758D9" w14:textId="77777777" w:rsidR="00A40E33" w:rsidRPr="008057DA" w:rsidRDefault="00A40E33" w:rsidP="00AF5BEE">
                      <w:pPr>
                        <w:ind w:left="851" w:hanging="851"/>
                        <w:rPr>
                          <w:lang w:val="id-ID"/>
                        </w:rPr>
                      </w:pPr>
                      <w:r w:rsidRPr="00555568">
                        <w:rPr>
                          <w:i/>
                          <w:lang w:val="id-ID"/>
                        </w:rPr>
                        <w:t>ROA</w:t>
                      </w:r>
                      <w:r w:rsidRPr="00555568">
                        <w:rPr>
                          <w:i/>
                          <w:vertAlign w:val="subscript"/>
                          <w:lang w:val="id-ID"/>
                        </w:rPr>
                        <w:t>it</w:t>
                      </w:r>
                      <w:r w:rsidRPr="00555568">
                        <w:rPr>
                          <w:i/>
                          <w:lang w:val="id-ID"/>
                        </w:rPr>
                        <w:t xml:space="preserve"> = β</w:t>
                      </w:r>
                      <w:r w:rsidRPr="00555568">
                        <w:rPr>
                          <w:i/>
                          <w:vertAlign w:val="subscript"/>
                          <w:lang w:val="id-ID"/>
                        </w:rPr>
                        <w:t>0</w:t>
                      </w:r>
                      <w:r w:rsidRPr="00555568">
                        <w:rPr>
                          <w:i/>
                          <w:lang w:val="id-ID"/>
                        </w:rPr>
                        <w:t xml:space="preserve"> + 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sidRPr="00555568">
                        <w:rPr>
                          <w:i/>
                          <w:vertAlign w:val="subscript"/>
                          <w:lang w:val="id-ID"/>
                        </w:rPr>
                        <w:t xml:space="preserve">it </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Pr>
                          <w:i/>
                          <w:lang w:val="id-ID"/>
                        </w:rPr>
                        <w:t xml:space="preserve"> </w:t>
                      </w:r>
                      <w:r w:rsidRPr="00555568">
                        <w:rPr>
                          <w:i/>
                          <w:lang w:val="id-ID"/>
                        </w:rPr>
                        <w:t>+ ε</w:t>
                      </w:r>
                      <w:r w:rsidRPr="00555568">
                        <w:rPr>
                          <w:i/>
                          <w:vertAlign w:val="subscript"/>
                          <w:lang w:val="id-ID"/>
                        </w:rPr>
                        <w:t>it</w:t>
                      </w:r>
                      <w:r>
                        <w:rPr>
                          <w:i/>
                          <w:vertAlign w:val="subscript"/>
                          <w:lang w:val="id-ID"/>
                        </w:rPr>
                        <w:t xml:space="preserve"> </w:t>
                      </w:r>
                      <w:r w:rsidRPr="008057DA">
                        <w:rPr>
                          <w:lang w:val="id-ID"/>
                        </w:rPr>
                        <w:t>+ Σ</w:t>
                      </w:r>
                      <w:r w:rsidRPr="008057DA">
                        <w:rPr>
                          <w:vertAlign w:val="subscript"/>
                          <w:lang w:val="id-ID"/>
                        </w:rPr>
                        <w:t>i+7</w:t>
                      </w:r>
                      <w:r w:rsidRPr="008057DA">
                        <w:rPr>
                          <w:lang w:val="id-ID"/>
                        </w:rPr>
                        <w:t>D</w:t>
                      </w:r>
                      <w:r w:rsidRPr="008057DA">
                        <w:rPr>
                          <w:vertAlign w:val="subscript"/>
                          <w:lang w:val="id-ID"/>
                        </w:rPr>
                        <w:t>i</w:t>
                      </w:r>
                      <w:r w:rsidRPr="008057DA">
                        <w:rPr>
                          <w:lang w:val="id-ID"/>
                        </w:rPr>
                        <w:t xml:space="preserve"> + </w:t>
                      </w:r>
                      <w:r w:rsidRPr="00555568">
                        <w:rPr>
                          <w:i/>
                          <w:lang w:val="id-ID"/>
                        </w:rPr>
                        <w:t>ε</w:t>
                      </w:r>
                      <w:r w:rsidRPr="00555568">
                        <w:rPr>
                          <w:i/>
                          <w:vertAlign w:val="subscript"/>
                          <w:lang w:val="id-ID"/>
                        </w:rPr>
                        <w:t>it</w:t>
                      </w:r>
                    </w:p>
                  </w:txbxContent>
                </v:textbox>
              </v:rect>
            </w:pict>
          </mc:Fallback>
        </mc:AlternateContent>
      </w:r>
    </w:p>
    <w:p w14:paraId="3B0EBB17" w14:textId="77777777" w:rsidR="00AF5BEE" w:rsidRDefault="00AF5BEE" w:rsidP="002B12FE">
      <w:pPr>
        <w:ind w:firstLine="540"/>
        <w:jc w:val="both"/>
        <w:rPr>
          <w:lang w:val="id-ID"/>
        </w:rPr>
      </w:pPr>
    </w:p>
    <w:p w14:paraId="3F2C3354" w14:textId="77777777" w:rsidR="00AF5BEE" w:rsidRDefault="00AF5BEE" w:rsidP="002B12FE">
      <w:pPr>
        <w:ind w:firstLine="540"/>
        <w:jc w:val="both"/>
        <w:rPr>
          <w:lang w:val="id-ID"/>
        </w:rPr>
      </w:pPr>
    </w:p>
    <w:p w14:paraId="1DB9EC6B" w14:textId="77777777" w:rsidR="00AF5BEE" w:rsidRDefault="00AF5BEE" w:rsidP="002B12FE">
      <w:pPr>
        <w:ind w:firstLine="540"/>
        <w:jc w:val="both"/>
        <w:rPr>
          <w:lang w:val="id-ID"/>
        </w:rPr>
      </w:pPr>
    </w:p>
    <w:p w14:paraId="00AF829E" w14:textId="694FA161" w:rsidR="00AF5BEE" w:rsidRDefault="001F5D6A" w:rsidP="002B12FE">
      <w:pPr>
        <w:ind w:firstLine="540"/>
        <w:jc w:val="both"/>
        <w:rPr>
          <w:lang w:val="id-ID"/>
        </w:rPr>
      </w:pPr>
      <w:r>
        <w:rPr>
          <w:noProof/>
        </w:rPr>
        <mc:AlternateContent>
          <mc:Choice Requires="wps">
            <w:drawing>
              <wp:anchor distT="0" distB="0" distL="114300" distR="114300" simplePos="0" relativeHeight="251654144" behindDoc="0" locked="0" layoutInCell="1" allowOverlap="1" wp14:anchorId="28C26FEC" wp14:editId="27854DF6">
                <wp:simplePos x="0" y="0"/>
                <wp:positionH relativeFrom="column">
                  <wp:posOffset>9525</wp:posOffset>
                </wp:positionH>
                <wp:positionV relativeFrom="paragraph">
                  <wp:posOffset>167640</wp:posOffset>
                </wp:positionV>
                <wp:extent cx="2857500" cy="647700"/>
                <wp:effectExtent l="0" t="2540" r="15875"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47700"/>
                        </a:xfrm>
                        <a:prstGeom prst="rect">
                          <a:avLst/>
                        </a:prstGeom>
                        <a:solidFill>
                          <a:srgbClr val="FFFFFF"/>
                        </a:solidFill>
                        <a:ln w="9525">
                          <a:solidFill>
                            <a:srgbClr val="000000"/>
                          </a:solidFill>
                          <a:miter lim="800000"/>
                          <a:headEnd/>
                          <a:tailEnd/>
                        </a:ln>
                      </wps:spPr>
                      <wps:txbx>
                        <w:txbxContent>
                          <w:p w14:paraId="04F51334" w14:textId="77777777" w:rsidR="00A40E33" w:rsidRPr="008057DA" w:rsidRDefault="00A40E33" w:rsidP="00C65442">
                            <w:pPr>
                              <w:ind w:left="1080" w:hanging="1080"/>
                              <w:rPr>
                                <w:lang w:val="id-ID"/>
                              </w:rPr>
                            </w:pPr>
                            <w:r w:rsidRPr="008057DA">
                              <w:rPr>
                                <w:i/>
                                <w:lang w:val="id-ID"/>
                              </w:rPr>
                              <w:t>TOBIN</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 xml:space="preserve">+ </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β</w:t>
                            </w:r>
                            <w:r>
                              <w:rPr>
                                <w:i/>
                                <w:vertAlign w:val="subscript"/>
                                <w:lang w:val="id-ID"/>
                              </w:rPr>
                              <w:t>7</w:t>
                            </w:r>
                            <w:r w:rsidRPr="00555568">
                              <w:rPr>
                                <w:i/>
                                <w:lang w:val="id-ID"/>
                              </w:rPr>
                              <w:t>ROA</w:t>
                            </w:r>
                            <w:r w:rsidRPr="00555568">
                              <w:rPr>
                                <w:i/>
                                <w:vertAlign w:val="subscript"/>
                                <w:lang w:val="id-ID"/>
                              </w:rPr>
                              <w:t>it</w:t>
                            </w:r>
                            <w:r>
                              <w:rPr>
                                <w:lang w:val="id-ID"/>
                              </w:rPr>
                              <w:t xml:space="preserve">  +  </w:t>
                            </w:r>
                            <w:r w:rsidRPr="00555568">
                              <w:rPr>
                                <w:i/>
                                <w:lang w:val="id-ID"/>
                              </w:rPr>
                              <w:t>ε</w:t>
                            </w:r>
                            <w:r w:rsidRPr="00555568">
                              <w:rPr>
                                <w:i/>
                                <w:vertAlign w:val="subscript"/>
                                <w:lang w:val="id-ID"/>
                              </w:rPr>
                              <w:t>it</w:t>
                            </w:r>
                            <w:r>
                              <w:rPr>
                                <w:i/>
                                <w:vertAlign w:val="subscript"/>
                                <w:lang w:val="id-ID"/>
                              </w:rPr>
                              <w:t xml:space="preserve">  </w:t>
                            </w:r>
                            <w:r w:rsidRPr="008057DA">
                              <w:rPr>
                                <w:lang w:val="id-ID"/>
                              </w:rPr>
                              <w:t>+ Σ</w:t>
                            </w:r>
                            <w:r w:rsidRPr="008057DA">
                              <w:rPr>
                                <w:vertAlign w:val="subscript"/>
                                <w:lang w:val="id-ID"/>
                              </w:rPr>
                              <w:t>i+8</w:t>
                            </w:r>
                            <w:r w:rsidRPr="008057DA">
                              <w:rPr>
                                <w:lang w:val="id-ID"/>
                              </w:rPr>
                              <w:t>D</w:t>
                            </w:r>
                            <w:r w:rsidRPr="008057DA">
                              <w:rPr>
                                <w:vertAlign w:val="subscript"/>
                                <w:lang w:val="id-ID"/>
                              </w:rPr>
                              <w:t>i</w:t>
                            </w:r>
                            <w:r w:rsidRPr="008057DA">
                              <w:rPr>
                                <w:lang w:val="id-ID"/>
                              </w:rPr>
                              <w:t xml:space="preserve"> + </w:t>
                            </w:r>
                            <w:r w:rsidRPr="00555568">
                              <w:rPr>
                                <w:i/>
                                <w:lang w:val="id-ID"/>
                              </w:rPr>
                              <w:t>ε</w:t>
                            </w:r>
                            <w:r w:rsidRPr="00555568">
                              <w:rPr>
                                <w:i/>
                                <w:vertAlign w:val="subscript"/>
                                <w:lang w:val="id-ID"/>
                              </w:rPr>
                              <w:t>it</w:t>
                            </w:r>
                          </w:p>
                          <w:p w14:paraId="48EE5987" w14:textId="77777777" w:rsidR="00A40E33" w:rsidRPr="00AF5BEE" w:rsidRDefault="00A40E33" w:rsidP="00AF5BEE">
                            <w:pPr>
                              <w:ind w:left="851" w:hanging="851"/>
                              <w:rPr>
                                <w:rFonts w:ascii="Times New Roman Italic" w:hAnsi="Times New Roman Italic"/>
                                <w:i/>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6FEC" id="Rectangle 5" o:spid="_x0000_s1029" style="position:absolute;left:0;text-align:left;margin-left:.75pt;margin-top:13.2pt;width:2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6yFCkCAABPBAAADgAAAGRycy9lMm9Eb2MueG1srFTbjtMwEH1H4h8sv9Okpdl2o6arVZcipAVW&#10;LHyA4ziJhW+M3abl6xk73W4XeELkwfJ4xsdnzsxkdXPQiuwFeGlNRaeTnBJhuG2k6Sr67ev2zZIS&#10;H5hpmLJGVPQoPL1Zv361GlwpZra3qhFAEMT4cnAV7UNwZZZ53gvN/MQ6YdDZWtAsoAld1gAbEF2r&#10;bJbnV9lgoXFgufAeT+9GJ10n/LYVPHxuWy8CURVFbiGtkNY6rtl6xcoOmOslP9Fg/8BCM2nw0TPU&#10;HQuM7ED+AaUlB+ttGybc6sy2reQi5YDZTPPfsnnsmRMpFxTHu7NM/v/B8k/7ByCywdqhPIZprNEX&#10;VI2ZTglSRH0G50sMe3QPEDP07t7y754Yu+kxStwC2KEXrEFW0xifvbgQDY9XST18tA2is12wSapD&#10;CzoCogjkkCpyPFdEHALheDhbFosiR2YcfVfzxQL38QlWPt124MN7YTWJm4oCck/obH/vwxj6FJLY&#10;WyWbrVQqGdDVGwVkz7A7tuk7ofvLMGXIUNHrYlYk5Bc+fwmRp+9vEFoGbHMldUWX5yBWRtnemQZp&#10;sjIwqcY9ZqfMScco3ViCcKgPqVBv4wNR1to2RxQW7NjVOIW46S38pGTAjq6o/7FjIChRHwwW53o6&#10;n8cRSMa8WMzQgEtPfelhhiNURQMl43YTxrHZOZBdjy9NkxrG3mJBW5m0fmZ1oo9dm6p1mrA4Fpd2&#10;inr+D6x/AQAA//8DAFBLAwQUAAYACAAAACEAa65KxdsAAAAIAQAADwAAAGRycy9kb3ducmV2Lnht&#10;bEyPTU+DQBCG7yb+h82YeLOLSJuKLI3R1MRjSy/eBhgBZWcJu7Tor3d6qsf3I+88k21m26sjjb5z&#10;bOB+EYEirlzdcWPgUGzv1qB8QK6xd0wGfsjDJr++yjCt3Yl3dNyHRskI+xQNtCEMqda+asmiX7iB&#10;WLJPN1oMIsdG1yOeZNz2Oo6ilbbYsVxocaCXlqrv/WQNlF18wN9d8RbZx+1DeJ+Lr+nj1Zjbm/n5&#10;CVSgOVzKcMYXdMiFqXQT1171opdSNBCvElASJ8uzUYofrxPQeab/P5D/AQAA//8DAFBLAQItABQA&#10;BgAIAAAAIQDkmcPA+wAAAOEBAAATAAAAAAAAAAAAAAAAAAAAAABbQ29udGVudF9UeXBlc10ueG1s&#10;UEsBAi0AFAAGAAgAAAAhACOyauHXAAAAlAEAAAsAAAAAAAAAAAAAAAAALAEAAF9yZWxzLy5yZWxz&#10;UEsBAi0AFAAGAAgAAAAhAM4ushQpAgAATwQAAA4AAAAAAAAAAAAAAAAALAIAAGRycy9lMm9Eb2Mu&#10;eG1sUEsBAi0AFAAGAAgAAAAhAGuuSsXbAAAACAEAAA8AAAAAAAAAAAAAAAAAgQQAAGRycy9kb3du&#10;cmV2LnhtbFBLBQYAAAAABAAEAPMAAACJBQAAAAA=&#10;">
                <v:textbox>
                  <w:txbxContent>
                    <w:p w14:paraId="04F51334" w14:textId="77777777" w:rsidR="00A40E33" w:rsidRPr="008057DA" w:rsidRDefault="00A40E33" w:rsidP="00C65442">
                      <w:pPr>
                        <w:ind w:left="1080" w:hanging="1080"/>
                        <w:rPr>
                          <w:lang w:val="id-ID"/>
                        </w:rPr>
                      </w:pPr>
                      <w:r w:rsidRPr="008057DA">
                        <w:rPr>
                          <w:i/>
                          <w:lang w:val="id-ID"/>
                        </w:rPr>
                        <w:t>TOBIN</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 xml:space="preserve">+ </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β</w:t>
                      </w:r>
                      <w:r>
                        <w:rPr>
                          <w:i/>
                          <w:vertAlign w:val="subscript"/>
                          <w:lang w:val="id-ID"/>
                        </w:rPr>
                        <w:t>7</w:t>
                      </w:r>
                      <w:r w:rsidRPr="00555568">
                        <w:rPr>
                          <w:i/>
                          <w:lang w:val="id-ID"/>
                        </w:rPr>
                        <w:t>ROA</w:t>
                      </w:r>
                      <w:r w:rsidRPr="00555568">
                        <w:rPr>
                          <w:i/>
                          <w:vertAlign w:val="subscript"/>
                          <w:lang w:val="id-ID"/>
                        </w:rPr>
                        <w:t>it</w:t>
                      </w:r>
                      <w:r>
                        <w:rPr>
                          <w:lang w:val="id-ID"/>
                        </w:rPr>
                        <w:t xml:space="preserve">  +  </w:t>
                      </w:r>
                      <w:r w:rsidRPr="00555568">
                        <w:rPr>
                          <w:i/>
                          <w:lang w:val="id-ID"/>
                        </w:rPr>
                        <w:t>ε</w:t>
                      </w:r>
                      <w:r w:rsidRPr="00555568">
                        <w:rPr>
                          <w:i/>
                          <w:vertAlign w:val="subscript"/>
                          <w:lang w:val="id-ID"/>
                        </w:rPr>
                        <w:t>it</w:t>
                      </w:r>
                      <w:r>
                        <w:rPr>
                          <w:i/>
                          <w:vertAlign w:val="subscript"/>
                          <w:lang w:val="id-ID"/>
                        </w:rPr>
                        <w:t xml:space="preserve">  </w:t>
                      </w:r>
                      <w:r w:rsidRPr="008057DA">
                        <w:rPr>
                          <w:lang w:val="id-ID"/>
                        </w:rPr>
                        <w:t>+ Σ</w:t>
                      </w:r>
                      <w:r w:rsidRPr="008057DA">
                        <w:rPr>
                          <w:vertAlign w:val="subscript"/>
                          <w:lang w:val="id-ID"/>
                        </w:rPr>
                        <w:t>i+8</w:t>
                      </w:r>
                      <w:r w:rsidRPr="008057DA">
                        <w:rPr>
                          <w:lang w:val="id-ID"/>
                        </w:rPr>
                        <w:t>D</w:t>
                      </w:r>
                      <w:r w:rsidRPr="008057DA">
                        <w:rPr>
                          <w:vertAlign w:val="subscript"/>
                          <w:lang w:val="id-ID"/>
                        </w:rPr>
                        <w:t>i</w:t>
                      </w:r>
                      <w:r w:rsidRPr="008057DA">
                        <w:rPr>
                          <w:lang w:val="id-ID"/>
                        </w:rPr>
                        <w:t xml:space="preserve"> + </w:t>
                      </w:r>
                      <w:r w:rsidRPr="00555568">
                        <w:rPr>
                          <w:i/>
                          <w:lang w:val="id-ID"/>
                        </w:rPr>
                        <w:t>ε</w:t>
                      </w:r>
                      <w:r w:rsidRPr="00555568">
                        <w:rPr>
                          <w:i/>
                          <w:vertAlign w:val="subscript"/>
                          <w:lang w:val="id-ID"/>
                        </w:rPr>
                        <w:t>it</w:t>
                      </w:r>
                    </w:p>
                    <w:p w14:paraId="48EE5987" w14:textId="77777777" w:rsidR="00A40E33" w:rsidRPr="00AF5BEE" w:rsidRDefault="00A40E33" w:rsidP="00AF5BEE">
                      <w:pPr>
                        <w:ind w:left="851" w:hanging="851"/>
                        <w:rPr>
                          <w:rFonts w:ascii="Times New Roman Italic" w:hAnsi="Times New Roman Italic"/>
                          <w:i/>
                          <w:lang w:val="id-ID"/>
                        </w:rPr>
                      </w:pPr>
                    </w:p>
                  </w:txbxContent>
                </v:textbox>
              </v:rect>
            </w:pict>
          </mc:Fallback>
        </mc:AlternateContent>
      </w:r>
    </w:p>
    <w:p w14:paraId="68328E49" w14:textId="77777777" w:rsidR="00AF5BEE" w:rsidRDefault="00AF5BEE" w:rsidP="002B12FE">
      <w:pPr>
        <w:ind w:firstLine="540"/>
        <w:jc w:val="both"/>
        <w:rPr>
          <w:lang w:val="id-ID"/>
        </w:rPr>
      </w:pPr>
    </w:p>
    <w:p w14:paraId="76896AC6" w14:textId="77777777" w:rsidR="00B45CB8" w:rsidRDefault="00B45CB8" w:rsidP="002B12FE">
      <w:pPr>
        <w:ind w:firstLine="540"/>
        <w:jc w:val="both"/>
        <w:rPr>
          <w:lang w:val="id-ID"/>
        </w:rPr>
      </w:pPr>
    </w:p>
    <w:p w14:paraId="10D21496" w14:textId="77777777" w:rsidR="00B45CB8" w:rsidRDefault="00B45CB8" w:rsidP="002B12FE">
      <w:pPr>
        <w:ind w:firstLine="540"/>
        <w:jc w:val="both"/>
        <w:rPr>
          <w:lang w:val="id-ID"/>
        </w:rPr>
      </w:pPr>
    </w:p>
    <w:p w14:paraId="666C6C45" w14:textId="77777777" w:rsidR="00B45CB8" w:rsidRDefault="00B45CB8" w:rsidP="002B12FE">
      <w:pPr>
        <w:ind w:firstLine="540"/>
        <w:jc w:val="both"/>
        <w:rPr>
          <w:lang w:val="id-ID"/>
        </w:rPr>
      </w:pPr>
    </w:p>
    <w:p w14:paraId="68829298" w14:textId="77777777" w:rsidR="00AF5BEE" w:rsidRPr="000A74A6" w:rsidRDefault="00844314" w:rsidP="00AF5BEE">
      <w:pPr>
        <w:pStyle w:val="ListParagraph"/>
        <w:numPr>
          <w:ilvl w:val="0"/>
          <w:numId w:val="25"/>
        </w:numPr>
        <w:ind w:left="426" w:hanging="426"/>
        <w:jc w:val="both"/>
      </w:pPr>
      <w:r>
        <w:rPr>
          <w:i/>
        </w:rPr>
        <w:t>Random</w:t>
      </w:r>
      <w:r w:rsidR="00AF5BEE" w:rsidRPr="00555568">
        <w:rPr>
          <w:i/>
        </w:rPr>
        <w:t xml:space="preserve"> Effect Model</w:t>
      </w:r>
      <w:r w:rsidR="00AF5BEE">
        <w:t xml:space="preserve"> (</w:t>
      </w:r>
      <w:r>
        <w:t>R</w:t>
      </w:r>
      <w:r w:rsidR="00AF5BEE">
        <w:t>EM)</w:t>
      </w:r>
    </w:p>
    <w:p w14:paraId="743EB0E6" w14:textId="07153FA3" w:rsidR="00895B44" w:rsidRDefault="001F5D6A">
      <w:r>
        <w:rPr>
          <w:noProof/>
        </w:rPr>
        <mc:AlternateContent>
          <mc:Choice Requires="wps">
            <w:drawing>
              <wp:anchor distT="0" distB="0" distL="114300" distR="114300" simplePos="0" relativeHeight="251655168" behindDoc="0" locked="0" layoutInCell="1" allowOverlap="1" wp14:anchorId="464C6915" wp14:editId="400C8B44">
                <wp:simplePos x="0" y="0"/>
                <wp:positionH relativeFrom="column">
                  <wp:posOffset>9525</wp:posOffset>
                </wp:positionH>
                <wp:positionV relativeFrom="paragraph">
                  <wp:posOffset>97155</wp:posOffset>
                </wp:positionV>
                <wp:extent cx="2857500" cy="501015"/>
                <wp:effectExtent l="0" t="0" r="15875" b="1143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01015"/>
                        </a:xfrm>
                        <a:prstGeom prst="rect">
                          <a:avLst/>
                        </a:prstGeom>
                        <a:solidFill>
                          <a:srgbClr val="FFFFFF"/>
                        </a:solidFill>
                        <a:ln w="9525">
                          <a:solidFill>
                            <a:srgbClr val="000000"/>
                          </a:solidFill>
                          <a:miter lim="800000"/>
                          <a:headEnd/>
                          <a:tailEnd/>
                        </a:ln>
                      </wps:spPr>
                      <wps:txbx>
                        <w:txbxContent>
                          <w:p w14:paraId="01852EF5" w14:textId="77777777" w:rsidR="00A40E33" w:rsidRPr="008057DA" w:rsidRDefault="00A40E33" w:rsidP="00844314">
                            <w:pPr>
                              <w:ind w:left="851" w:hanging="851"/>
                              <w:rPr>
                                <w:lang w:val="id-ID"/>
                              </w:rPr>
                            </w:pPr>
                            <w:r w:rsidRPr="00555568">
                              <w:rPr>
                                <w:i/>
                                <w:lang w:val="id-ID"/>
                              </w:rPr>
                              <w:t>ROA</w:t>
                            </w:r>
                            <w:r w:rsidRPr="00555568">
                              <w:rPr>
                                <w:i/>
                                <w:vertAlign w:val="subscript"/>
                                <w:lang w:val="id-ID"/>
                              </w:rPr>
                              <w:t>it</w:t>
                            </w:r>
                            <w:r w:rsidRPr="00555568">
                              <w:rPr>
                                <w:i/>
                                <w:lang w:val="id-ID"/>
                              </w:rPr>
                              <w:t xml:space="preserve"> = β</w:t>
                            </w:r>
                            <w:r w:rsidRPr="00555568">
                              <w:rPr>
                                <w:i/>
                                <w:vertAlign w:val="subscript"/>
                                <w:lang w:val="id-ID"/>
                              </w:rPr>
                              <w:t>0</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xml:space="preserve"> +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ε</w:t>
                            </w:r>
                            <w:r w:rsidRPr="00555568">
                              <w:rPr>
                                <w:i/>
                                <w:vertAlign w:val="subscript"/>
                                <w:lang w:val="id-ID"/>
                              </w:rPr>
                              <w:t>it</w:t>
                            </w:r>
                            <w:r>
                              <w:rPr>
                                <w:i/>
                                <w:vertAlign w:val="subscript"/>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C6915" id="Rectangle 7" o:spid="_x0000_s1030" style="position:absolute;margin-left:.75pt;margin-top:7.65pt;width:225pt;height:3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Ga3SgCAABOBAAADgAAAGRycy9lMm9Eb2MueG1srFTbjtMwEH1H4h8sv9MkVUN3o6arVZcipAVW&#10;LHyA4ziJhW+M3Sbl6xm73W4XeELkwfJ4xsdnzsxkdTNpRfYCvLSmpsUsp0QYbltp+pp++7p9c0WJ&#10;D8y0TFkjanoQnt6sX79aja4ScztY1QogCGJ8NbqaDiG4Kss8H4RmfmadMOjsLGgW0IQ+a4GNiK5V&#10;Ns/zt9looXVgufAeT++OTrpO+F0nePjcdV4EomqK3EJaIa1NXLP1ilU9MDdIfqLB/oGFZtLgo2eo&#10;OxYY2YH8A0pLDtbbLsy41ZntOslFygGzKfLfsnkcmBMpFxTHu7NM/v/B8k/7ByCyrek1JYZpLNEX&#10;FI2ZXgmyjPKMzlcY9egeICbo3b3l3z0xdjNglLgFsOMgWIukihifvbgQDY9XSTN+tC2is12wSamp&#10;Ax0BUQMypYIczgURUyAcD+dX5bLMsW4cfSUKVJTpCVY93Xbgw3thNYmbmgJyT+hsf+9DZMOqp5DE&#10;3irZbqVSyYC+2Sgge4bNsU3fCd1fhilDRpSnnJcJ+YXPX0Lk6fsbhJYBu1xJXdOrcxCromzvTJt6&#10;MDCpjnukrMxJxyjdsQRhaqZUp0V8IMra2PaAwoI9NjUOIW4GCz8pGbGha+p/7BgIStQHg8W5LhaL&#10;OAHJWJTLORpw6WkuPcxwhKppoOS43YTj1OwcyH7Al4qkhrG3WNBOJq2fWZ3oY9OmEpwGLE7FpZ2i&#10;nn8D618AAAD//wMAUEsDBBQABgAIAAAAIQDQZHWE2gAAAAcBAAAPAAAAZHJzL2Rvd25yZXYueG1s&#10;TI5BT4NAEIXvJv6HzZh4s4u0NRZZGqOpiceWXrwNMALKzhJ2adFf73Cyp8mb9/Lel24n26kTDb51&#10;bOB+EYEiLl3Vcm3gmO/uHkH5gFxh55gM/JCHbXZ9lWJSuTPv6XQItZIS9gkaaELoE6192ZBFv3A9&#10;sXifbrAYRA61rgY8S7ntdBxFD9piy7LQYE8vDZXfh9EaKNr4iL/7/C2ym90yvE/51/jxasztzfT8&#10;BCrQFP7DMOMLOmTCVLiRK6860WsJzmcJSuzVen4UBjarGHSW6kv+7A8AAP//AwBQSwECLQAUAAYA&#10;CAAAACEA5JnDwPsAAADhAQAAEwAAAAAAAAAAAAAAAAAAAAAAW0NvbnRlbnRfVHlwZXNdLnhtbFBL&#10;AQItABQABgAIAAAAIQAjsmrh1wAAAJQBAAALAAAAAAAAAAAAAAAAACwBAABfcmVscy8ucmVsc1BL&#10;AQItABQABgAIAAAAIQCl8ZrdKAIAAE4EAAAOAAAAAAAAAAAAAAAAACwCAABkcnMvZTJvRG9jLnht&#10;bFBLAQItABQABgAIAAAAIQDQZHWE2gAAAAcBAAAPAAAAAAAAAAAAAAAAAIAEAABkcnMvZG93bnJl&#10;di54bWxQSwUGAAAAAAQABADzAAAAhwUAAAAA&#10;">
                <v:textbox>
                  <w:txbxContent>
                    <w:p w14:paraId="01852EF5" w14:textId="77777777" w:rsidR="00A40E33" w:rsidRPr="008057DA" w:rsidRDefault="00A40E33" w:rsidP="00844314">
                      <w:pPr>
                        <w:ind w:left="851" w:hanging="851"/>
                        <w:rPr>
                          <w:lang w:val="id-ID"/>
                        </w:rPr>
                      </w:pPr>
                      <w:r w:rsidRPr="00555568">
                        <w:rPr>
                          <w:i/>
                          <w:lang w:val="id-ID"/>
                        </w:rPr>
                        <w:t>ROA</w:t>
                      </w:r>
                      <w:r w:rsidRPr="00555568">
                        <w:rPr>
                          <w:i/>
                          <w:vertAlign w:val="subscript"/>
                          <w:lang w:val="id-ID"/>
                        </w:rPr>
                        <w:t>it</w:t>
                      </w:r>
                      <w:r w:rsidRPr="00555568">
                        <w:rPr>
                          <w:i/>
                          <w:lang w:val="id-ID"/>
                        </w:rPr>
                        <w:t xml:space="preserve"> = β</w:t>
                      </w:r>
                      <w:r w:rsidRPr="00555568">
                        <w:rPr>
                          <w:i/>
                          <w:vertAlign w:val="subscript"/>
                          <w:lang w:val="id-ID"/>
                        </w:rPr>
                        <w:t>0</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w:t>
                      </w:r>
                      <w:r w:rsidRPr="00555568">
                        <w:rPr>
                          <w:i/>
                          <w:lang w:val="id-ID"/>
                        </w:rPr>
                        <w:t>β</w:t>
                      </w:r>
                      <w:r w:rsidRPr="00555568">
                        <w:rPr>
                          <w:i/>
                          <w:vertAlign w:val="subscript"/>
                          <w:lang w:val="id-ID"/>
                        </w:rPr>
                        <w:t>3</w:t>
                      </w:r>
                      <w:r w:rsidRPr="00555568">
                        <w:rPr>
                          <w:i/>
                          <w:lang w:val="id-ID"/>
                        </w:rPr>
                        <w:t>NPL</w:t>
                      </w:r>
                      <w:r w:rsidRPr="00555568">
                        <w:rPr>
                          <w:i/>
                          <w:vertAlign w:val="subscript"/>
                          <w:lang w:val="id-ID"/>
                        </w:rPr>
                        <w:t xml:space="preserve">it </w:t>
                      </w:r>
                      <w:r w:rsidRPr="00555568">
                        <w:rPr>
                          <w:i/>
                          <w:lang w:val="id-ID"/>
                        </w:rPr>
                        <w:t xml:space="preserve"> +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ε</w:t>
                      </w:r>
                      <w:r w:rsidRPr="00555568">
                        <w:rPr>
                          <w:i/>
                          <w:vertAlign w:val="subscript"/>
                          <w:lang w:val="id-ID"/>
                        </w:rPr>
                        <w:t>it</w:t>
                      </w:r>
                      <w:r>
                        <w:rPr>
                          <w:i/>
                          <w:vertAlign w:val="subscript"/>
                          <w:lang w:val="id-ID"/>
                        </w:rPr>
                        <w:t xml:space="preserve"> </w:t>
                      </w:r>
                    </w:p>
                  </w:txbxContent>
                </v:textbox>
              </v:rect>
            </w:pict>
          </mc:Fallback>
        </mc:AlternateContent>
      </w:r>
    </w:p>
    <w:p w14:paraId="24156609" w14:textId="77777777" w:rsidR="00844314" w:rsidRDefault="00844314"/>
    <w:p w14:paraId="63F8321F" w14:textId="77777777" w:rsidR="00844314" w:rsidRDefault="00844314"/>
    <w:p w14:paraId="43A7BAB6" w14:textId="77777777" w:rsidR="00844314" w:rsidRDefault="00844314"/>
    <w:p w14:paraId="14B29DBB" w14:textId="172B9458" w:rsidR="00844314" w:rsidRDefault="001F5D6A">
      <w:r>
        <w:rPr>
          <w:noProof/>
        </w:rPr>
        <mc:AlternateContent>
          <mc:Choice Requires="wps">
            <w:drawing>
              <wp:anchor distT="0" distB="0" distL="114300" distR="114300" simplePos="0" relativeHeight="251656192" behindDoc="0" locked="0" layoutInCell="1" allowOverlap="1" wp14:anchorId="7C6814E1" wp14:editId="3C4792AF">
                <wp:simplePos x="0" y="0"/>
                <wp:positionH relativeFrom="column">
                  <wp:posOffset>34290</wp:posOffset>
                </wp:positionH>
                <wp:positionV relativeFrom="paragraph">
                  <wp:posOffset>-3175</wp:posOffset>
                </wp:positionV>
                <wp:extent cx="2832735" cy="723900"/>
                <wp:effectExtent l="0" t="0" r="15875"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723900"/>
                        </a:xfrm>
                        <a:prstGeom prst="rect">
                          <a:avLst/>
                        </a:prstGeom>
                        <a:solidFill>
                          <a:srgbClr val="FFFFFF"/>
                        </a:solidFill>
                        <a:ln w="9525">
                          <a:solidFill>
                            <a:srgbClr val="000000"/>
                          </a:solidFill>
                          <a:miter lim="800000"/>
                          <a:headEnd/>
                          <a:tailEnd/>
                        </a:ln>
                      </wps:spPr>
                      <wps:txbx>
                        <w:txbxContent>
                          <w:p w14:paraId="293BD603" w14:textId="77777777" w:rsidR="00A40E33" w:rsidRPr="008057DA" w:rsidRDefault="00A40E33" w:rsidP="00C65442">
                            <w:pPr>
                              <w:ind w:left="1080" w:hanging="1080"/>
                              <w:rPr>
                                <w:lang w:val="id-ID"/>
                              </w:rPr>
                            </w:pPr>
                            <w:r w:rsidRPr="008057DA">
                              <w:rPr>
                                <w:i/>
                                <w:lang w:val="id-ID"/>
                              </w:rPr>
                              <w:t>TOBIN</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w:t>
                            </w:r>
                            <w:r w:rsidRPr="00555568">
                              <w:rPr>
                                <w:i/>
                                <w:lang w:val="id-ID"/>
                              </w:rPr>
                              <w:t>β</w:t>
                            </w:r>
                            <w:r w:rsidRPr="00555568">
                              <w:rPr>
                                <w:i/>
                                <w:vertAlign w:val="subscript"/>
                                <w:lang w:val="id-ID"/>
                              </w:rPr>
                              <w:t>3</w:t>
                            </w:r>
                            <w:r w:rsidRPr="00555568">
                              <w:rPr>
                                <w:i/>
                                <w:lang w:val="id-ID"/>
                              </w:rPr>
                              <w:t>NPL</w:t>
                            </w:r>
                            <w:r>
                              <w:rPr>
                                <w:i/>
                                <w:vertAlign w:val="subscript"/>
                                <w:lang w:val="id-ID"/>
                              </w:rPr>
                              <w:t>it</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β</w:t>
                            </w:r>
                            <w:r>
                              <w:rPr>
                                <w:i/>
                                <w:vertAlign w:val="subscript"/>
                                <w:lang w:val="id-ID"/>
                              </w:rPr>
                              <w:t>7</w:t>
                            </w:r>
                            <w:r w:rsidRPr="00555568">
                              <w:rPr>
                                <w:i/>
                                <w:lang w:val="id-ID"/>
                              </w:rPr>
                              <w:t>ROA</w:t>
                            </w:r>
                            <w:r w:rsidRPr="00555568">
                              <w:rPr>
                                <w:i/>
                                <w:vertAlign w:val="subscript"/>
                                <w:lang w:val="id-ID"/>
                              </w:rPr>
                              <w:t>it</w:t>
                            </w:r>
                            <w:r>
                              <w:rPr>
                                <w:lang w:val="id-ID"/>
                              </w:rPr>
                              <w:t xml:space="preserve">  +  </w:t>
                            </w:r>
                            <w:r w:rsidRPr="00555568">
                              <w:rPr>
                                <w:i/>
                                <w:lang w:val="id-ID"/>
                              </w:rPr>
                              <w:t>ε</w:t>
                            </w:r>
                            <w:r w:rsidRPr="00555568">
                              <w:rPr>
                                <w:i/>
                                <w:vertAlign w:val="subscript"/>
                                <w:lang w:val="id-ID"/>
                              </w:rPr>
                              <w:t>it</w:t>
                            </w:r>
                            <w:r>
                              <w:rPr>
                                <w:i/>
                                <w:vertAlign w:val="subscript"/>
                                <w:lang w:val="id-ID"/>
                              </w:rPr>
                              <w:t xml:space="preserve">  </w:t>
                            </w:r>
                          </w:p>
                          <w:p w14:paraId="778DFF3D" w14:textId="77777777" w:rsidR="00A40E33" w:rsidRPr="00AF5BEE" w:rsidRDefault="00A40E33" w:rsidP="00844314">
                            <w:pPr>
                              <w:ind w:left="851" w:hanging="851"/>
                              <w:rPr>
                                <w:rFonts w:ascii="Times New Roman Italic" w:hAnsi="Times New Roman Italic"/>
                                <w:i/>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814E1" id="Rectangle 8" o:spid="_x0000_s1031" style="position:absolute;margin-left:2.7pt;margin-top:-.2pt;width:223.0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NTgSsCAABOBAAADgAAAGRycy9lMm9Eb2MueG1srFTBjtMwEL0j8Q+W7zRp2rJt1HS16lKEtMCK&#10;hQ9wHCexcGwzdpuUr9+x05YucELkYHky45c3742zvh06RQ4CnDS6oNNJSonQ3FRSNwX99nX3ZkmJ&#10;80xXTBktCnoUjt5uXr9a9zYXmWmNqgQQBNEu721BW+9tniSOt6JjbmKs0JisDXTMYwhNUgHrEb1T&#10;SZamb5PeQGXBcOEcvr0fk3QT8etacP+5rp3wRBUUufm4QlzLsCabNcsbYLaV/ESD/QOLjkmNH71A&#10;3TPPyB7kH1Cd5GCcqf2Emy4xdS25iD1gN9P0t26eWmZF7AXFcfYik/t/sPzT4RGIrAqKRmnWoUVf&#10;UDSmGyXIMsjTW5dj1ZN9hNCgsw+Gf3dEm22LVeIOwPStYBWSmob65MWBEDg8Ssr+o6kQne29iUoN&#10;NXQBEDUgQzTkeDFEDJ5wfJktZ9nNbEEJx9xNNlul0bGE5efTFpx/L0xHwqaggNwjOjs8OB/YsPxc&#10;EtkbJaudVCoG0JRbBeTAcDh28YkNYJPXZUqTvqCrRbaIyC9y7hoijc/fIDrpccqV7FDmSxHLg2zv&#10;dBVn0DOpxj1SVvqkY5ButMAP5RB9WpxNKU11RGHBjEONlxA3rYGflPQ40AV1P/YMBCXqg0ZzVtP5&#10;PNyAGMwXNxkGcJ0przNMc4QqqKdk3G79eGv2FmTT4pemUQ1t7tDQWkatg9kjqxN9HNpowemChVtx&#10;HceqX7+BzTMAAAD//wMAUEsDBBQABgAIAAAAIQAXaOtC3AAAAAcBAAAPAAAAZHJzL2Rvd25yZXYu&#10;eG1sTI5BT4NAEIXvJv6HzZh4axfa0iiyNEZTE48tvXgbYASUnSXs0qK/3vGkp8nL+/Lmy3az7dWZ&#10;Rt85NhAvI1DElas7bgyciv3iDpQPyDX2jsnAF3nY5ddXGaa1u/CBzsfQKBlhn6KBNoQh1dpXLVn0&#10;SzcQS/fuRotB4tjoesSLjNter6Joqy12LB9aHOipperzOFkDZbc64feheIns/X4dXufiY3p7Nub2&#10;Zn58ABVoDn8w/OqLOuTiVLqJa696A8lGQAMLOdJukjgBVQoWr7eg80z/989/AAAA//8DAFBLAQIt&#10;ABQABgAIAAAAIQDkmcPA+wAAAOEBAAATAAAAAAAAAAAAAAAAAAAAAABbQ29udGVudF9UeXBlc10u&#10;eG1sUEsBAi0AFAAGAAgAAAAhACOyauHXAAAAlAEAAAsAAAAAAAAAAAAAAAAALAEAAF9yZWxzLy5y&#10;ZWxzUEsBAi0AFAAGAAgAAAAhAKzjU4ErAgAATgQAAA4AAAAAAAAAAAAAAAAALAIAAGRycy9lMm9E&#10;b2MueG1sUEsBAi0AFAAGAAgAAAAhABdo60LcAAAABwEAAA8AAAAAAAAAAAAAAAAAgwQAAGRycy9k&#10;b3ducmV2LnhtbFBLBQYAAAAABAAEAPMAAACMBQAAAAA=&#10;">
                <v:textbox>
                  <w:txbxContent>
                    <w:p w14:paraId="293BD603" w14:textId="77777777" w:rsidR="00A40E33" w:rsidRPr="008057DA" w:rsidRDefault="00A40E33" w:rsidP="00C65442">
                      <w:pPr>
                        <w:ind w:left="1080" w:hanging="1080"/>
                        <w:rPr>
                          <w:lang w:val="id-ID"/>
                        </w:rPr>
                      </w:pPr>
                      <w:r w:rsidRPr="008057DA">
                        <w:rPr>
                          <w:i/>
                          <w:lang w:val="id-ID"/>
                        </w:rPr>
                        <w:t>TOBIN</w:t>
                      </w:r>
                      <w:r w:rsidRPr="00555568">
                        <w:rPr>
                          <w:i/>
                          <w:vertAlign w:val="subscript"/>
                          <w:lang w:val="id-ID"/>
                        </w:rPr>
                        <w:t>it</w:t>
                      </w:r>
                      <w:r w:rsidRPr="00555568">
                        <w:rPr>
                          <w:i/>
                          <w:lang w:val="id-ID"/>
                        </w:rPr>
                        <w:t xml:space="preserve"> = β</w:t>
                      </w:r>
                      <w:r w:rsidRPr="00555568">
                        <w:rPr>
                          <w:i/>
                          <w:vertAlign w:val="subscript"/>
                          <w:lang w:val="id-ID"/>
                        </w:rPr>
                        <w:t>0</w:t>
                      </w:r>
                      <w:r>
                        <w:rPr>
                          <w:i/>
                          <w:lang w:val="id-ID"/>
                        </w:rPr>
                        <w:t>+</w:t>
                      </w:r>
                      <w:r w:rsidRPr="00555568">
                        <w:rPr>
                          <w:i/>
                          <w:lang w:val="id-ID"/>
                        </w:rPr>
                        <w:t>β</w:t>
                      </w:r>
                      <w:r w:rsidRPr="00555568">
                        <w:rPr>
                          <w:i/>
                          <w:vertAlign w:val="subscript"/>
                          <w:lang w:val="id-ID"/>
                        </w:rPr>
                        <w:t>1</w:t>
                      </w:r>
                      <w:r w:rsidRPr="00555568">
                        <w:rPr>
                          <w:i/>
                          <w:lang w:val="id-ID"/>
                        </w:rPr>
                        <w:t>FG</w:t>
                      </w:r>
                      <w:r w:rsidRPr="00555568">
                        <w:rPr>
                          <w:i/>
                          <w:vertAlign w:val="subscript"/>
                          <w:lang w:val="id-ID"/>
                        </w:rPr>
                        <w:t>it</w:t>
                      </w:r>
                      <w:r>
                        <w:rPr>
                          <w:i/>
                          <w:lang w:val="id-ID"/>
                        </w:rPr>
                        <w:t>+</w:t>
                      </w:r>
                      <w:r w:rsidRPr="00555568">
                        <w:rPr>
                          <w:i/>
                          <w:lang w:val="id-ID"/>
                        </w:rPr>
                        <w:t>β</w:t>
                      </w:r>
                      <w:r w:rsidRPr="00555568">
                        <w:rPr>
                          <w:i/>
                          <w:vertAlign w:val="subscript"/>
                          <w:lang w:val="id-ID"/>
                        </w:rPr>
                        <w:t>2</w:t>
                      </w:r>
                      <w:r w:rsidRPr="00555568">
                        <w:rPr>
                          <w:i/>
                          <w:lang w:val="id-ID"/>
                        </w:rPr>
                        <w:t>CAR</w:t>
                      </w:r>
                      <w:r w:rsidRPr="00555568">
                        <w:rPr>
                          <w:i/>
                          <w:vertAlign w:val="subscript"/>
                          <w:lang w:val="id-ID"/>
                        </w:rPr>
                        <w:t>it</w:t>
                      </w:r>
                      <w:r>
                        <w:rPr>
                          <w:i/>
                          <w:lang w:val="id-ID"/>
                        </w:rPr>
                        <w:t>+</w:t>
                      </w:r>
                      <w:r w:rsidRPr="00555568">
                        <w:rPr>
                          <w:i/>
                          <w:lang w:val="id-ID"/>
                        </w:rPr>
                        <w:t>β</w:t>
                      </w:r>
                      <w:r w:rsidRPr="00555568">
                        <w:rPr>
                          <w:i/>
                          <w:vertAlign w:val="subscript"/>
                          <w:lang w:val="id-ID"/>
                        </w:rPr>
                        <w:t>3</w:t>
                      </w:r>
                      <w:r w:rsidRPr="00555568">
                        <w:rPr>
                          <w:i/>
                          <w:lang w:val="id-ID"/>
                        </w:rPr>
                        <w:t>NPL</w:t>
                      </w:r>
                      <w:r>
                        <w:rPr>
                          <w:i/>
                          <w:vertAlign w:val="subscript"/>
                          <w:lang w:val="id-ID"/>
                        </w:rPr>
                        <w:t>it</w:t>
                      </w:r>
                      <w:r w:rsidRPr="00555568">
                        <w:rPr>
                          <w:i/>
                          <w:lang w:val="id-ID"/>
                        </w:rPr>
                        <w:t>+ β</w:t>
                      </w:r>
                      <w:r w:rsidRPr="00555568">
                        <w:rPr>
                          <w:i/>
                          <w:vertAlign w:val="subscript"/>
                          <w:lang w:val="id-ID"/>
                        </w:rPr>
                        <w:t>4</w:t>
                      </w:r>
                      <w:r w:rsidRPr="00555568">
                        <w:rPr>
                          <w:i/>
                          <w:lang w:val="id-ID"/>
                        </w:rPr>
                        <w:t>LDR</w:t>
                      </w:r>
                      <w:r w:rsidRPr="00555568">
                        <w:rPr>
                          <w:i/>
                          <w:vertAlign w:val="subscript"/>
                          <w:lang w:val="id-ID"/>
                        </w:rPr>
                        <w:t>it</w:t>
                      </w:r>
                      <w:r>
                        <w:rPr>
                          <w:i/>
                          <w:lang w:val="id-ID"/>
                        </w:rPr>
                        <w:t>+</w:t>
                      </w:r>
                      <w:r w:rsidRPr="00555568">
                        <w:rPr>
                          <w:i/>
                          <w:lang w:val="id-ID"/>
                        </w:rPr>
                        <w:t>β</w:t>
                      </w:r>
                      <w:r w:rsidRPr="00555568">
                        <w:rPr>
                          <w:i/>
                          <w:vertAlign w:val="subscript"/>
                          <w:lang w:val="id-ID"/>
                        </w:rPr>
                        <w:t>5</w:t>
                      </w:r>
                      <w:r w:rsidRPr="00555568">
                        <w:rPr>
                          <w:i/>
                          <w:lang w:val="id-ID"/>
                        </w:rPr>
                        <w:t>BOPO</w:t>
                      </w:r>
                      <w:r>
                        <w:rPr>
                          <w:i/>
                          <w:vertAlign w:val="subscript"/>
                          <w:lang w:val="id-ID"/>
                        </w:rPr>
                        <w:t>it</w:t>
                      </w:r>
                      <w:r>
                        <w:rPr>
                          <w:i/>
                          <w:lang w:val="id-ID"/>
                        </w:rPr>
                        <w:t>+</w:t>
                      </w:r>
                      <w:r w:rsidRPr="00555568">
                        <w:rPr>
                          <w:i/>
                          <w:lang w:val="id-ID"/>
                        </w:rPr>
                        <w:t>β</w:t>
                      </w:r>
                      <w:r w:rsidRPr="00555568">
                        <w:rPr>
                          <w:i/>
                          <w:vertAlign w:val="subscript"/>
                          <w:lang w:val="id-ID"/>
                        </w:rPr>
                        <w:t>6</w:t>
                      </w:r>
                      <w:r w:rsidRPr="00555568">
                        <w:rPr>
                          <w:i/>
                          <w:lang w:val="id-ID"/>
                        </w:rPr>
                        <w:t>DG</w:t>
                      </w:r>
                      <w:r w:rsidRPr="00555568">
                        <w:rPr>
                          <w:i/>
                          <w:vertAlign w:val="subscript"/>
                          <w:lang w:val="id-ID"/>
                        </w:rPr>
                        <w:t>it</w:t>
                      </w:r>
                      <w:r w:rsidRPr="00555568">
                        <w:rPr>
                          <w:i/>
                          <w:lang w:val="id-ID"/>
                        </w:rPr>
                        <w:t>+ β</w:t>
                      </w:r>
                      <w:r>
                        <w:rPr>
                          <w:i/>
                          <w:vertAlign w:val="subscript"/>
                          <w:lang w:val="id-ID"/>
                        </w:rPr>
                        <w:t>7</w:t>
                      </w:r>
                      <w:r w:rsidRPr="00555568">
                        <w:rPr>
                          <w:i/>
                          <w:lang w:val="id-ID"/>
                        </w:rPr>
                        <w:t>ROA</w:t>
                      </w:r>
                      <w:r w:rsidRPr="00555568">
                        <w:rPr>
                          <w:i/>
                          <w:vertAlign w:val="subscript"/>
                          <w:lang w:val="id-ID"/>
                        </w:rPr>
                        <w:t>it</w:t>
                      </w:r>
                      <w:r>
                        <w:rPr>
                          <w:lang w:val="id-ID"/>
                        </w:rPr>
                        <w:t xml:space="preserve">  +  </w:t>
                      </w:r>
                      <w:r w:rsidRPr="00555568">
                        <w:rPr>
                          <w:i/>
                          <w:lang w:val="id-ID"/>
                        </w:rPr>
                        <w:t>ε</w:t>
                      </w:r>
                      <w:r w:rsidRPr="00555568">
                        <w:rPr>
                          <w:i/>
                          <w:vertAlign w:val="subscript"/>
                          <w:lang w:val="id-ID"/>
                        </w:rPr>
                        <w:t>it</w:t>
                      </w:r>
                      <w:r>
                        <w:rPr>
                          <w:i/>
                          <w:vertAlign w:val="subscript"/>
                          <w:lang w:val="id-ID"/>
                        </w:rPr>
                        <w:t xml:space="preserve">  </w:t>
                      </w:r>
                    </w:p>
                    <w:p w14:paraId="778DFF3D" w14:textId="77777777" w:rsidR="00A40E33" w:rsidRPr="00AF5BEE" w:rsidRDefault="00A40E33" w:rsidP="00844314">
                      <w:pPr>
                        <w:ind w:left="851" w:hanging="851"/>
                        <w:rPr>
                          <w:rFonts w:ascii="Times New Roman Italic" w:hAnsi="Times New Roman Italic"/>
                          <w:i/>
                          <w:lang w:val="id-ID"/>
                        </w:rPr>
                      </w:pPr>
                    </w:p>
                  </w:txbxContent>
                </v:textbox>
              </v:rect>
            </w:pict>
          </mc:Fallback>
        </mc:AlternateContent>
      </w:r>
    </w:p>
    <w:p w14:paraId="2359B899" w14:textId="77777777" w:rsidR="00844314" w:rsidRDefault="00844314"/>
    <w:p w14:paraId="440B78C2" w14:textId="77777777" w:rsidR="00844314" w:rsidRDefault="00844314"/>
    <w:p w14:paraId="072486A4" w14:textId="77777777" w:rsidR="00844314" w:rsidRDefault="00844314"/>
    <w:p w14:paraId="1F4E0517" w14:textId="77777777" w:rsidR="00860D64" w:rsidRDefault="00860D64">
      <w:pPr>
        <w:rPr>
          <w:lang w:val="id-ID"/>
        </w:rPr>
      </w:pPr>
    </w:p>
    <w:p w14:paraId="0F261016" w14:textId="479F2C97" w:rsidR="00EE07BE" w:rsidRDefault="001F5D6A" w:rsidP="0058175B">
      <w:pPr>
        <w:jc w:val="both"/>
        <w:rPr>
          <w:lang w:val="id-ID"/>
        </w:rPr>
      </w:pPr>
      <w:r>
        <w:rPr>
          <w:noProof/>
        </w:rPr>
        <w:lastRenderedPageBreak/>
        <mc:AlternateContent>
          <mc:Choice Requires="wps">
            <w:drawing>
              <wp:anchor distT="0" distB="0" distL="114300" distR="114300" simplePos="0" relativeHeight="251657216" behindDoc="0" locked="0" layoutInCell="1" allowOverlap="1" wp14:anchorId="3FF5FC2A" wp14:editId="20D31B64">
                <wp:simplePos x="0" y="0"/>
                <wp:positionH relativeFrom="column">
                  <wp:posOffset>55245</wp:posOffset>
                </wp:positionH>
                <wp:positionV relativeFrom="paragraph">
                  <wp:posOffset>47625</wp:posOffset>
                </wp:positionV>
                <wp:extent cx="2832735" cy="409575"/>
                <wp:effectExtent l="4445" t="0" r="7620"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409575"/>
                        </a:xfrm>
                        <a:prstGeom prst="rect">
                          <a:avLst/>
                        </a:prstGeom>
                        <a:solidFill>
                          <a:srgbClr val="FFFFFF"/>
                        </a:solidFill>
                        <a:ln w="9525">
                          <a:solidFill>
                            <a:srgbClr val="000000"/>
                          </a:solidFill>
                          <a:miter lim="800000"/>
                          <a:headEnd/>
                          <a:tailEnd/>
                        </a:ln>
                      </wps:spPr>
                      <wps:txbx>
                        <w:txbxContent>
                          <w:p w14:paraId="2D1650F3" w14:textId="77777777" w:rsidR="00A40E33" w:rsidRPr="008057DA" w:rsidRDefault="00A40E33" w:rsidP="00844314">
                            <w:pPr>
                              <w:ind w:left="851" w:hanging="851"/>
                              <w:rPr>
                                <w:lang w:val="id-ID"/>
                              </w:rPr>
                            </w:pPr>
                            <w:r>
                              <w:rPr>
                                <w:lang w:val="id-ID"/>
                              </w:rPr>
                              <w:t xml:space="preserve">               </w:t>
                            </w:r>
                            <w:r w:rsidRPr="00844314">
                              <w:rPr>
                                <w:i/>
                                <w:sz w:val="28"/>
                                <w:szCs w:val="28"/>
                                <w:lang w:val="id-ID"/>
                              </w:rPr>
                              <w:t>ε</w:t>
                            </w:r>
                            <w:r w:rsidRPr="00555568">
                              <w:rPr>
                                <w:i/>
                                <w:vertAlign w:val="subscript"/>
                                <w:lang w:val="id-ID"/>
                              </w:rPr>
                              <w:t>it</w:t>
                            </w:r>
                            <w:r>
                              <w:rPr>
                                <w:i/>
                                <w:vertAlign w:val="subscript"/>
                                <w:lang w:val="id-ID"/>
                              </w:rPr>
                              <w:t xml:space="preserve">  </w:t>
                            </w:r>
                            <w:r w:rsidRPr="008057DA">
                              <w:rPr>
                                <w:lang w:val="id-ID"/>
                              </w:rPr>
                              <w:t xml:space="preserve"> =  U</w:t>
                            </w:r>
                            <w:r w:rsidRPr="008057DA">
                              <w:rPr>
                                <w:vertAlign w:val="subscript"/>
                                <w:lang w:val="id-ID"/>
                              </w:rPr>
                              <w:t>i</w:t>
                            </w:r>
                            <w:r w:rsidRPr="008057DA">
                              <w:rPr>
                                <w:lang w:val="id-ID"/>
                              </w:rPr>
                              <w:t xml:space="preserve">  +  V</w:t>
                            </w:r>
                            <w:r w:rsidRPr="008057DA">
                              <w:rPr>
                                <w:vertAlign w:val="subscript"/>
                                <w:lang w:val="id-ID"/>
                              </w:rPr>
                              <w:t>i</w:t>
                            </w:r>
                            <w:r w:rsidRPr="008057DA">
                              <w:rPr>
                                <w:lang w:val="id-ID"/>
                              </w:rPr>
                              <w:t xml:space="preserve">  +  W</w:t>
                            </w:r>
                            <w:r w:rsidRPr="008057DA">
                              <w:rPr>
                                <w:vertAlign w:val="subscript"/>
                                <w:lang w:val="id-ID"/>
                              </w:rPr>
                              <w:t>it</w:t>
                            </w:r>
                          </w:p>
                          <w:p w14:paraId="4C2C425C" w14:textId="77777777" w:rsidR="00A40E33" w:rsidRPr="00AF5BEE" w:rsidRDefault="00A40E33" w:rsidP="00844314">
                            <w:pPr>
                              <w:ind w:left="851" w:hanging="851"/>
                              <w:rPr>
                                <w:rFonts w:ascii="Times New Roman Italic" w:hAnsi="Times New Roman Italic"/>
                                <w:i/>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FC2A" id="Rectangle 9" o:spid="_x0000_s1032" style="position:absolute;left:0;text-align:left;margin-left:4.35pt;margin-top:3.75pt;width:223.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X77isCAABOBAAADgAAAGRycy9lMm9Eb2MueG1srFRRb9MwEH5H4j9YfqdJs2Zto6bT1FGENGBi&#10;8AMcx0ksHNuc3abl1+/sdF0HPCHyYPl858/ffXeX1c2hV2QvwEmjSzqdpJQIzU0tdVvS79+27xaU&#10;OM90zZTRoqRH4ejN+u2b1WALkZnOqFoAQRDtisGWtPPeFknieCd65ibGCo3OxkDPPJrQJjWwAdF7&#10;lWRpep0MBmoLhgvn8PRudNJ1xG8awf2XpnHCE1VS5ObjCnGtwpqsV6xogdlO8hMN9g8seiY1PnqG&#10;umOekR3IP6B6ycE40/gJN31imkZyEXPAbKbpb9k8dsyKmAuK4+xZJvf/YPnn/QMQWZd0TolmPZbo&#10;K4rGdKsEWQZ5BusKjHq0DxASdPbe8B+OaLPpMErcApihE6xGUtMQn7y6EAyHV0k1fDI1orOdN1Gp&#10;QwN9AEQNyCEW5HguiDh4wvEwW1xl86ucEo6+WbrM53l8ghXPty04/0GYnoRNSQG5R3S2v3c+sGHF&#10;c0hkb5Sst1KpaEBbbRSQPcPm2MbvhO4uw5QmQ0mXeZZH5Fc+dwmRxu9vEL302OVK9iVdnINYEWR7&#10;r+vYg55JNe6RstInHYN0Ywn8oTrEOl2HB4KslamPKCyYsalxCHHTGfhFyYANXVL3c8dAUKI+aizO&#10;cjqbhQmIxiyfZ2jApae69DDNEaqknpJxu/Hj1OwsyLbDl6ZRDW1usaCNjFq/sDrRx6aNJTgNWJiK&#10;SztGvfwG1k8AAAD//wMAUEsDBBQABgAIAAAAIQCmWSG/3AAAAAYBAAAPAAAAZHJzL2Rvd25yZXYu&#10;eG1sTI/BTsMwEETvSPyDtUjcqE1oaUnjVAhUJI5teuG2ibdJILaj2GkDX89yKsfRjGbeZJvJduJE&#10;Q2i903A/UyDIVd60rtZwKLZ3KxAhojPYeUcavinAJr++yjA1/ux2dNrHWnCJCylqaGLsUylD1ZDF&#10;MPM9OfaOfrAYWQ61NAOeudx2MlHqUVpsHS802NNLQ9XXfrQayjY54M+ueFP2afsQ36fic/x41fr2&#10;Znpeg4g0xUsY/vAZHXJmKv3oTBCdhtWSgxqWCxDszhdzPlKyThTIPJP/8fNfAAAA//8DAFBLAQIt&#10;ABQABgAIAAAAIQDkmcPA+wAAAOEBAAATAAAAAAAAAAAAAAAAAAAAAABbQ29udGVudF9UeXBlc10u&#10;eG1sUEsBAi0AFAAGAAgAAAAhACOyauHXAAAAlAEAAAsAAAAAAAAAAAAAAAAALAEAAF9yZWxzLy5y&#10;ZWxzUEsBAi0AFAAGAAgAAAAhAFlF++4rAgAATgQAAA4AAAAAAAAAAAAAAAAALAIAAGRycy9lMm9E&#10;b2MueG1sUEsBAi0AFAAGAAgAAAAhAKZZIb/cAAAABgEAAA8AAAAAAAAAAAAAAAAAgwQAAGRycy9k&#10;b3ducmV2LnhtbFBLBQYAAAAABAAEAPMAAACMBQAAAAA=&#10;">
                <v:textbox>
                  <w:txbxContent>
                    <w:p w14:paraId="2D1650F3" w14:textId="77777777" w:rsidR="00A40E33" w:rsidRPr="008057DA" w:rsidRDefault="00A40E33" w:rsidP="00844314">
                      <w:pPr>
                        <w:ind w:left="851" w:hanging="851"/>
                        <w:rPr>
                          <w:lang w:val="id-ID"/>
                        </w:rPr>
                      </w:pPr>
                      <w:r>
                        <w:rPr>
                          <w:lang w:val="id-ID"/>
                        </w:rPr>
                        <w:t xml:space="preserve">               </w:t>
                      </w:r>
                      <w:r w:rsidRPr="00844314">
                        <w:rPr>
                          <w:i/>
                          <w:sz w:val="28"/>
                          <w:szCs w:val="28"/>
                          <w:lang w:val="id-ID"/>
                        </w:rPr>
                        <w:t>ε</w:t>
                      </w:r>
                      <w:r w:rsidRPr="00555568">
                        <w:rPr>
                          <w:i/>
                          <w:vertAlign w:val="subscript"/>
                          <w:lang w:val="id-ID"/>
                        </w:rPr>
                        <w:t>it</w:t>
                      </w:r>
                      <w:r>
                        <w:rPr>
                          <w:i/>
                          <w:vertAlign w:val="subscript"/>
                          <w:lang w:val="id-ID"/>
                        </w:rPr>
                        <w:t xml:space="preserve">  </w:t>
                      </w:r>
                      <w:r w:rsidRPr="008057DA">
                        <w:rPr>
                          <w:lang w:val="id-ID"/>
                        </w:rPr>
                        <w:t xml:space="preserve"> =  U</w:t>
                      </w:r>
                      <w:r w:rsidRPr="008057DA">
                        <w:rPr>
                          <w:vertAlign w:val="subscript"/>
                          <w:lang w:val="id-ID"/>
                        </w:rPr>
                        <w:t>i</w:t>
                      </w:r>
                      <w:r w:rsidRPr="008057DA">
                        <w:rPr>
                          <w:lang w:val="id-ID"/>
                        </w:rPr>
                        <w:t xml:space="preserve">  +  V</w:t>
                      </w:r>
                      <w:r w:rsidRPr="008057DA">
                        <w:rPr>
                          <w:vertAlign w:val="subscript"/>
                          <w:lang w:val="id-ID"/>
                        </w:rPr>
                        <w:t>i</w:t>
                      </w:r>
                      <w:r w:rsidRPr="008057DA">
                        <w:rPr>
                          <w:lang w:val="id-ID"/>
                        </w:rPr>
                        <w:t xml:space="preserve">  +  W</w:t>
                      </w:r>
                      <w:r w:rsidRPr="008057DA">
                        <w:rPr>
                          <w:vertAlign w:val="subscript"/>
                          <w:lang w:val="id-ID"/>
                        </w:rPr>
                        <w:t>it</w:t>
                      </w:r>
                    </w:p>
                    <w:p w14:paraId="4C2C425C" w14:textId="77777777" w:rsidR="00A40E33" w:rsidRPr="00AF5BEE" w:rsidRDefault="00A40E33" w:rsidP="00844314">
                      <w:pPr>
                        <w:ind w:left="851" w:hanging="851"/>
                        <w:rPr>
                          <w:rFonts w:ascii="Times New Roman Italic" w:hAnsi="Times New Roman Italic"/>
                          <w:i/>
                          <w:lang w:val="id-ID"/>
                        </w:rPr>
                      </w:pPr>
                    </w:p>
                  </w:txbxContent>
                </v:textbox>
              </v:rect>
            </w:pict>
          </mc:Fallback>
        </mc:AlternateContent>
      </w:r>
      <w:r w:rsidR="00EE07BE">
        <w:rPr>
          <w:lang w:val="id-ID"/>
        </w:rPr>
        <w:t xml:space="preserve">     </w:t>
      </w:r>
    </w:p>
    <w:p w14:paraId="4243CF78" w14:textId="77777777" w:rsidR="00EE07BE" w:rsidRDefault="00EE07BE" w:rsidP="0058175B">
      <w:pPr>
        <w:jc w:val="both"/>
        <w:rPr>
          <w:lang w:val="id-ID"/>
        </w:rPr>
      </w:pPr>
    </w:p>
    <w:p w14:paraId="3E7B0044" w14:textId="77777777" w:rsidR="00EE07BE" w:rsidRDefault="00EE07BE" w:rsidP="0058175B">
      <w:pPr>
        <w:jc w:val="both"/>
        <w:rPr>
          <w:lang w:val="id-ID"/>
        </w:rPr>
      </w:pPr>
    </w:p>
    <w:p w14:paraId="0FC60A19" w14:textId="77777777" w:rsidR="00582A0D" w:rsidRDefault="00582A0D" w:rsidP="0058175B">
      <w:pPr>
        <w:jc w:val="both"/>
        <w:rPr>
          <w:lang w:val="id-ID"/>
        </w:rPr>
      </w:pPr>
    </w:p>
    <w:p w14:paraId="3B7E08F2" w14:textId="77777777" w:rsidR="006C5A25" w:rsidRDefault="009E17BF" w:rsidP="0058175B">
      <w:pPr>
        <w:jc w:val="both"/>
        <w:rPr>
          <w:b/>
          <w:lang w:val="id-ID"/>
        </w:rPr>
      </w:pPr>
      <w:r w:rsidRPr="009E17BF">
        <w:rPr>
          <w:lang w:val="id-ID"/>
        </w:rPr>
        <w:t>Where, ROA</w:t>
      </w:r>
      <w:r>
        <w:rPr>
          <w:lang w:val="id-ID"/>
        </w:rPr>
        <w:t xml:space="preserve"> </w:t>
      </w:r>
      <w:r w:rsidRPr="009E17BF">
        <w:rPr>
          <w:lang w:val="id-ID"/>
        </w:rPr>
        <w:t>it Profitability in year t for firm to 1 (hereinafter expressed as i), TOBINit = Tobin's Q corporate value in year t for i, FGit = Company growth in year t for i, C</w:t>
      </w:r>
      <w:r w:rsidR="00F53589">
        <w:rPr>
          <w:lang w:val="id-ID"/>
        </w:rPr>
        <w:t>ARit = Capital adequacy ratio of</w:t>
      </w:r>
      <w:r w:rsidRPr="009E17BF">
        <w:rPr>
          <w:lang w:val="id-ID"/>
        </w:rPr>
        <w:t xml:space="preserve"> year t for i</w:t>
      </w:r>
      <w:r w:rsidR="00F53589">
        <w:rPr>
          <w:lang w:val="id-ID"/>
        </w:rPr>
        <w:t>, NPLit = Non Performing Loan of</w:t>
      </w:r>
      <w:r w:rsidRPr="009E17BF">
        <w:rPr>
          <w:lang w:val="id-ID"/>
        </w:rPr>
        <w:t xml:space="preserve"> year</w:t>
      </w:r>
      <w:r w:rsidR="00F53589">
        <w:rPr>
          <w:lang w:val="id-ID"/>
        </w:rPr>
        <w:t xml:space="preserve"> t for i, LDRit = Loan amount of</w:t>
      </w:r>
      <w:r w:rsidRPr="009E17BF">
        <w:rPr>
          <w:lang w:val="id-ID"/>
        </w:rPr>
        <w:t xml:space="preserve"> year t for</w:t>
      </w:r>
      <w:r w:rsidR="00F53589">
        <w:rPr>
          <w:lang w:val="id-ID"/>
        </w:rPr>
        <w:t xml:space="preserve"> i, BOPOit = Operational cost of</w:t>
      </w:r>
      <w:r w:rsidRPr="009E17BF">
        <w:rPr>
          <w:lang w:val="id-ID"/>
        </w:rPr>
        <w:t xml:space="preserve"> ye</w:t>
      </w:r>
      <w:r w:rsidR="00F53589">
        <w:rPr>
          <w:lang w:val="id-ID"/>
        </w:rPr>
        <w:t>ar t for i, DGit = GDP growth of</w:t>
      </w:r>
      <w:r w:rsidRPr="009E17BF">
        <w:rPr>
          <w:lang w:val="id-ID"/>
        </w:rPr>
        <w:t xml:space="preserve"> year t for i, β0 Intercept of cross variant and cross unit β1 β2 β7 = Parameter of each variable to n or path coefficient X1, X2, X7, εit = Residual to it, Ui = Residual component cross section data to i, Vt = Residual component time series data to t, Wit =</w:t>
      </w:r>
      <w:r w:rsidR="005D7BD8">
        <w:rPr>
          <w:lang w:val="id-ID"/>
        </w:rPr>
        <w:t xml:space="preserve"> Component residuals combined with</w:t>
      </w:r>
      <w:r w:rsidRPr="009E17BF">
        <w:rPr>
          <w:lang w:val="id-ID"/>
        </w:rPr>
        <w:t xml:space="preserve"> year t for i</w:t>
      </w:r>
      <w:r w:rsidR="00F53589">
        <w:rPr>
          <w:lang w:val="id-ID"/>
        </w:rPr>
        <w:t>.</w:t>
      </w:r>
    </w:p>
    <w:p w14:paraId="6D29F7AA" w14:textId="77777777" w:rsidR="006C5A25" w:rsidRDefault="006C5A25" w:rsidP="0058175B">
      <w:pPr>
        <w:jc w:val="both"/>
        <w:rPr>
          <w:b/>
          <w:lang w:val="id-ID"/>
        </w:rPr>
      </w:pPr>
    </w:p>
    <w:p w14:paraId="7E0F2718" w14:textId="77777777" w:rsidR="000651C9" w:rsidRPr="00582A0D" w:rsidRDefault="009E17BF" w:rsidP="0058175B">
      <w:pPr>
        <w:jc w:val="both"/>
        <w:rPr>
          <w:b/>
          <w:color w:val="E36C0A"/>
          <w:lang w:val="id-ID"/>
        </w:rPr>
      </w:pPr>
      <w:r w:rsidRPr="00582A0D">
        <w:rPr>
          <w:b/>
          <w:color w:val="E36C0A"/>
          <w:lang w:val="id-ID"/>
        </w:rPr>
        <w:t>Research result</w:t>
      </w:r>
    </w:p>
    <w:p w14:paraId="265BCB1E" w14:textId="77777777" w:rsidR="00582A0D" w:rsidRDefault="009E17BF" w:rsidP="009E17BF">
      <w:pPr>
        <w:jc w:val="both"/>
        <w:rPr>
          <w:lang w:val="id-ID"/>
        </w:rPr>
      </w:pPr>
      <w:r w:rsidRPr="009E17BF">
        <w:rPr>
          <w:lang w:val="id-ID"/>
        </w:rPr>
        <w:t>The result of paired test</w:t>
      </w:r>
      <w:r w:rsidR="00E17992">
        <w:rPr>
          <w:lang w:val="id-ID"/>
        </w:rPr>
        <w:t>s</w:t>
      </w:r>
      <w:r w:rsidRPr="009E17BF">
        <w:rPr>
          <w:lang w:val="id-ID"/>
        </w:rPr>
        <w:t xml:space="preserve"> using Chow test, LM test, and Hausman test on the three panel data regression methods, is needed to decide which model</w:t>
      </w:r>
      <w:r w:rsidR="00E17992">
        <w:rPr>
          <w:lang w:val="id-ID"/>
        </w:rPr>
        <w:t>s on</w:t>
      </w:r>
      <w:r w:rsidRPr="009E17BF">
        <w:rPr>
          <w:lang w:val="id-ID"/>
        </w:rPr>
        <w:t xml:space="preserve"> panel data regression method used further to estimate and analyze the determinant of profitability and its implication to firm value of 27 banking companies. After the paired testing through the three test equipment, it is concluded that the random effect model is used because the random effect model is selected through two test equipments from three test equipments used, namely LM test and Hausman test.</w:t>
      </w:r>
    </w:p>
    <w:p w14:paraId="34AA9313" w14:textId="77777777" w:rsidR="00A40E33" w:rsidRDefault="009E17BF" w:rsidP="009E17BF">
      <w:pPr>
        <w:jc w:val="both"/>
        <w:rPr>
          <w:lang w:val="id-ID"/>
        </w:rPr>
      </w:pPr>
      <w:r w:rsidRPr="009E17BF">
        <w:rPr>
          <w:lang w:val="id-ID"/>
        </w:rPr>
        <w:t>Th</w:t>
      </w:r>
      <w:r w:rsidR="00E17992">
        <w:rPr>
          <w:lang w:val="id-ID"/>
        </w:rPr>
        <w:t>e Random Effect Model applied to</w:t>
      </w:r>
      <w:r w:rsidRPr="009E17BF">
        <w:rPr>
          <w:lang w:val="id-ID"/>
        </w:rPr>
        <w:t xml:space="preserve"> this study is Estimated Generalized Least Squares (EGLS), resulting in a white heteroscedasticity consistent standard error &amp; variance that serves to eliminate the problem of heterokedastisitas and mengkonstankan residual. While the autocorrelation test problem is not hinted and can be ignored in the random effect model. But based on the Durbin-Watson Stat t</w:t>
      </w:r>
      <w:r w:rsidR="00E17992">
        <w:rPr>
          <w:lang w:val="id-ID"/>
        </w:rPr>
        <w:t>est. If the result is close to much</w:t>
      </w:r>
      <w:r w:rsidRPr="009E17BF">
        <w:rPr>
          <w:lang w:val="id-ID"/>
        </w:rPr>
        <w:t xml:space="preserve"> there is no autocorrelation</w:t>
      </w:r>
      <w:r w:rsidR="00EE07BE">
        <w:rPr>
          <w:lang w:val="id-ID"/>
        </w:rPr>
        <w:t>,</w:t>
      </w:r>
      <w:r w:rsidR="007107EA">
        <w:rPr>
          <w:lang w:val="id-ID"/>
        </w:rPr>
        <w:t xml:space="preserve"> </w:t>
      </w:r>
    </w:p>
    <w:tbl>
      <w:tblPr>
        <w:tblpPr w:leftFromText="180" w:rightFromText="180" w:vertAnchor="text" w:horzAnchor="page" w:tblpX="4890" w:tblpY="59"/>
        <w:tblOverlap w:val="never"/>
        <w:tblW w:w="6085" w:type="dxa"/>
        <w:tblLayout w:type="fixed"/>
        <w:tblCellMar>
          <w:left w:w="0" w:type="dxa"/>
          <w:right w:w="0" w:type="dxa"/>
        </w:tblCellMar>
        <w:tblLook w:val="0000" w:firstRow="0" w:lastRow="0" w:firstColumn="0" w:lastColumn="0" w:noHBand="0" w:noVBand="0"/>
      </w:tblPr>
      <w:tblGrid>
        <w:gridCol w:w="3031"/>
        <w:gridCol w:w="842"/>
        <w:gridCol w:w="1228"/>
        <w:gridCol w:w="354"/>
        <w:gridCol w:w="630"/>
      </w:tblGrid>
      <w:tr w:rsidR="00A40E33" w:rsidRPr="00A07D2D" w14:paraId="2ED397E4" w14:textId="77777777" w:rsidTr="00A40E33">
        <w:trPr>
          <w:trHeight w:hRule="exact" w:val="90"/>
        </w:trPr>
        <w:tc>
          <w:tcPr>
            <w:tcW w:w="3031" w:type="dxa"/>
            <w:tcBorders>
              <w:top w:val="nil"/>
              <w:left w:val="nil"/>
              <w:bottom w:val="double" w:sz="6" w:space="2" w:color="auto"/>
              <w:right w:val="nil"/>
            </w:tcBorders>
            <w:vAlign w:val="bottom"/>
          </w:tcPr>
          <w:p w14:paraId="0ED914F3" w14:textId="77777777" w:rsidR="00A40E33" w:rsidRPr="008057DA" w:rsidRDefault="00A40E33" w:rsidP="00A40E33">
            <w:pPr>
              <w:autoSpaceDE w:val="0"/>
              <w:autoSpaceDN w:val="0"/>
              <w:adjustRightInd w:val="0"/>
              <w:jc w:val="center"/>
              <w:rPr>
                <w:rFonts w:eastAsia="Times New Roman"/>
                <w:color w:val="000000"/>
                <w:sz w:val="16"/>
                <w:szCs w:val="16"/>
              </w:rPr>
            </w:pPr>
          </w:p>
        </w:tc>
        <w:tc>
          <w:tcPr>
            <w:tcW w:w="842" w:type="dxa"/>
            <w:tcBorders>
              <w:top w:val="nil"/>
              <w:left w:val="nil"/>
              <w:bottom w:val="double" w:sz="6" w:space="2" w:color="auto"/>
              <w:right w:val="nil"/>
            </w:tcBorders>
            <w:vAlign w:val="bottom"/>
          </w:tcPr>
          <w:p w14:paraId="390567F9" w14:textId="77777777" w:rsidR="00A40E33" w:rsidRPr="008057DA" w:rsidRDefault="00A40E33" w:rsidP="00A40E33">
            <w:pPr>
              <w:autoSpaceDE w:val="0"/>
              <w:autoSpaceDN w:val="0"/>
              <w:adjustRightInd w:val="0"/>
              <w:jc w:val="center"/>
              <w:rPr>
                <w:rFonts w:eastAsia="Times New Roman"/>
                <w:color w:val="000000"/>
                <w:sz w:val="16"/>
                <w:szCs w:val="16"/>
              </w:rPr>
            </w:pPr>
          </w:p>
        </w:tc>
        <w:tc>
          <w:tcPr>
            <w:tcW w:w="1228" w:type="dxa"/>
            <w:tcBorders>
              <w:top w:val="nil"/>
              <w:left w:val="nil"/>
              <w:bottom w:val="double" w:sz="6" w:space="2" w:color="auto"/>
              <w:right w:val="nil"/>
            </w:tcBorders>
            <w:vAlign w:val="bottom"/>
          </w:tcPr>
          <w:p w14:paraId="1F72900E" w14:textId="77777777" w:rsidR="00A40E33" w:rsidRPr="008057DA" w:rsidRDefault="00A40E33" w:rsidP="00A40E33">
            <w:pPr>
              <w:autoSpaceDE w:val="0"/>
              <w:autoSpaceDN w:val="0"/>
              <w:adjustRightInd w:val="0"/>
              <w:jc w:val="center"/>
              <w:rPr>
                <w:rFonts w:eastAsia="Times New Roman"/>
                <w:color w:val="000000"/>
                <w:sz w:val="16"/>
                <w:szCs w:val="16"/>
              </w:rPr>
            </w:pPr>
          </w:p>
        </w:tc>
        <w:tc>
          <w:tcPr>
            <w:tcW w:w="354" w:type="dxa"/>
            <w:tcBorders>
              <w:top w:val="nil"/>
              <w:left w:val="nil"/>
              <w:bottom w:val="double" w:sz="6" w:space="2" w:color="auto"/>
              <w:right w:val="nil"/>
            </w:tcBorders>
            <w:vAlign w:val="bottom"/>
          </w:tcPr>
          <w:p w14:paraId="090D1F56" w14:textId="77777777" w:rsidR="00A40E33" w:rsidRPr="008057DA" w:rsidRDefault="00A40E33" w:rsidP="00A40E33">
            <w:pPr>
              <w:autoSpaceDE w:val="0"/>
              <w:autoSpaceDN w:val="0"/>
              <w:adjustRightInd w:val="0"/>
              <w:jc w:val="center"/>
              <w:rPr>
                <w:rFonts w:eastAsia="Times New Roman"/>
                <w:color w:val="000000"/>
                <w:sz w:val="16"/>
                <w:szCs w:val="16"/>
              </w:rPr>
            </w:pPr>
          </w:p>
        </w:tc>
        <w:tc>
          <w:tcPr>
            <w:tcW w:w="630" w:type="dxa"/>
            <w:tcBorders>
              <w:top w:val="nil"/>
              <w:left w:val="nil"/>
              <w:bottom w:val="double" w:sz="6" w:space="2" w:color="auto"/>
              <w:right w:val="nil"/>
            </w:tcBorders>
            <w:vAlign w:val="bottom"/>
          </w:tcPr>
          <w:p w14:paraId="5777ED33" w14:textId="77777777" w:rsidR="00A40E33" w:rsidRPr="008057DA" w:rsidRDefault="00A40E33" w:rsidP="00A40E33">
            <w:pPr>
              <w:autoSpaceDE w:val="0"/>
              <w:autoSpaceDN w:val="0"/>
              <w:adjustRightInd w:val="0"/>
              <w:jc w:val="center"/>
              <w:rPr>
                <w:rFonts w:eastAsia="Times New Roman"/>
                <w:color w:val="000000"/>
                <w:sz w:val="16"/>
                <w:szCs w:val="16"/>
              </w:rPr>
            </w:pPr>
          </w:p>
        </w:tc>
      </w:tr>
    </w:tbl>
    <w:p w14:paraId="0676E1EB" w14:textId="77777777" w:rsidR="00A40E33" w:rsidRDefault="00A40E33" w:rsidP="00A40E33">
      <w:pPr>
        <w:jc w:val="both"/>
        <w:rPr>
          <w:lang w:val="id-ID"/>
        </w:rPr>
      </w:pPr>
      <w:r w:rsidRPr="009E17BF">
        <w:rPr>
          <w:lang w:val="id-ID"/>
        </w:rPr>
        <w:t>value close to 2 that is 1.307986 then there is no autocorrelation between residuals</w:t>
      </w:r>
      <w:r>
        <w:rPr>
          <w:lang w:val="id-ID"/>
        </w:rPr>
        <w:t>.</w:t>
      </w:r>
    </w:p>
    <w:p w14:paraId="19C5B0EA" w14:textId="77777777" w:rsidR="00A40E33" w:rsidRDefault="00A40E33" w:rsidP="00A40E33">
      <w:pPr>
        <w:jc w:val="both"/>
        <w:rPr>
          <w:lang w:val="id-ID"/>
        </w:rPr>
      </w:pPr>
      <w:r>
        <w:rPr>
          <w:lang w:val="id-ID"/>
        </w:rPr>
        <w:t xml:space="preserve">     </w:t>
      </w:r>
      <w:r w:rsidRPr="009E17BF">
        <w:rPr>
          <w:lang w:val="id-ID"/>
        </w:rPr>
        <w:t>The result of estimation of facto</w:t>
      </w:r>
      <w:r>
        <w:rPr>
          <w:lang w:val="id-ID"/>
        </w:rPr>
        <w:t>rs influencing profitability is</w:t>
      </w:r>
      <w:r w:rsidRPr="009E17BF">
        <w:rPr>
          <w:lang w:val="id-ID"/>
        </w:rPr>
        <w:t xml:space="preserve"> Corporate Growth (FG), Capital Aequacy Ratio (CAR), Non Performing Loan (NPL), Loan to Deposit Ratio (LDR), Operational Income Operating Cost (BOPO), and Growth of DPK (DG) ) that uses the random effect model, can be written into the form of equation 4 below</w:t>
      </w:r>
      <w:r>
        <w:rPr>
          <w:lang w:val="id-ID"/>
        </w:rPr>
        <w:t xml:space="preserve"> :</w:t>
      </w:r>
    </w:p>
    <w:p w14:paraId="37D29506" w14:textId="77777777" w:rsidR="005045F1" w:rsidRDefault="005045F1" w:rsidP="009E17BF">
      <w:pPr>
        <w:jc w:val="both"/>
        <w:rPr>
          <w:lang w:val="id-ID"/>
        </w:rPr>
        <w:sectPr w:rsidR="005045F1" w:rsidSect="001F5D6A">
          <w:pgSz w:w="11906" w:h="16838"/>
          <w:pgMar w:top="1440" w:right="1016" w:bottom="1440" w:left="1170" w:header="708" w:footer="708" w:gutter="0"/>
          <w:cols w:space="708"/>
          <w:docGrid w:linePitch="360"/>
        </w:sectPr>
      </w:pPr>
    </w:p>
    <w:p w14:paraId="2A8BFA11" w14:textId="028EB56C" w:rsidR="00EE07BE" w:rsidRDefault="00EE07BE" w:rsidP="009E17BF">
      <w:pPr>
        <w:jc w:val="both"/>
        <w:rPr>
          <w:lang w:val="id-ID"/>
        </w:rPr>
      </w:pPr>
    </w:p>
    <w:p w14:paraId="1BEFF684" w14:textId="74BC7892" w:rsidR="00490703" w:rsidRDefault="001F5D6A" w:rsidP="0058175B">
      <w:pPr>
        <w:jc w:val="both"/>
        <w:rPr>
          <w:lang w:val="id-ID"/>
        </w:rPr>
      </w:pPr>
      <w:r>
        <w:rPr>
          <w:noProof/>
        </w:rPr>
        <mc:AlternateContent>
          <mc:Choice Requires="wps">
            <w:drawing>
              <wp:anchor distT="0" distB="0" distL="114300" distR="114300" simplePos="0" relativeHeight="251658240" behindDoc="0" locked="0" layoutInCell="1" allowOverlap="1" wp14:anchorId="5AD7BDFC" wp14:editId="5DCEA0AC">
                <wp:simplePos x="0" y="0"/>
                <wp:positionH relativeFrom="column">
                  <wp:posOffset>5195</wp:posOffset>
                </wp:positionH>
                <wp:positionV relativeFrom="paragraph">
                  <wp:posOffset>51897</wp:posOffset>
                </wp:positionV>
                <wp:extent cx="6161290" cy="828675"/>
                <wp:effectExtent l="0" t="0" r="36830" b="3492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290" cy="828675"/>
                        </a:xfrm>
                        <a:prstGeom prst="rect">
                          <a:avLst/>
                        </a:prstGeom>
                        <a:solidFill>
                          <a:srgbClr val="FFFFFF"/>
                        </a:solidFill>
                        <a:ln w="9525">
                          <a:solidFill>
                            <a:srgbClr val="000000"/>
                          </a:solidFill>
                          <a:miter lim="800000"/>
                          <a:headEnd/>
                          <a:tailEnd/>
                        </a:ln>
                      </wps:spPr>
                      <wps:txbx>
                        <w:txbxContent>
                          <w:p w14:paraId="1FEEB658" w14:textId="77777777" w:rsidR="00A40E33" w:rsidRPr="008057DA" w:rsidRDefault="00A40E33" w:rsidP="00DF1987">
                            <w:pPr>
                              <w:ind w:left="709" w:hanging="709"/>
                              <w:jc w:val="both"/>
                              <w:rPr>
                                <w:lang w:val="id-ID"/>
                              </w:rPr>
                            </w:pPr>
                            <w:r>
                              <w:rPr>
                                <w:i/>
                                <w:lang w:val="id-ID"/>
                              </w:rPr>
                              <w:t>ROA</w:t>
                            </w:r>
                            <w:r w:rsidRPr="00555568">
                              <w:rPr>
                                <w:i/>
                                <w:lang w:val="id-ID"/>
                              </w:rPr>
                              <w:t xml:space="preserve">= </w:t>
                            </w:r>
                            <w:r>
                              <w:t>(</w:t>
                            </w:r>
                            <w:r w:rsidRPr="001A34D0">
                              <w:t>C</w:t>
                            </w:r>
                            <w:r w:rsidRPr="001A34D0">
                              <w:rPr>
                                <w:vertAlign w:val="subscript"/>
                              </w:rPr>
                              <w:t xml:space="preserve">i </w:t>
                            </w:r>
                            <w:r w:rsidRPr="001A34D0">
                              <w:t>+ 0,007969</w:t>
                            </w:r>
                            <w:r>
                              <w:t>)</w:t>
                            </w:r>
                            <w:r>
                              <w:rPr>
                                <w:i/>
                              </w:rPr>
                              <w:t xml:space="preserve"> </w:t>
                            </w:r>
                            <w:r w:rsidRPr="001A34D0">
                              <w:rPr>
                                <w:i/>
                              </w:rPr>
                              <w:t xml:space="preserve">+ </w:t>
                            </w:r>
                            <w:r w:rsidRPr="001A34D0">
                              <w:t>0,038539 FG</w:t>
                            </w:r>
                            <w:r w:rsidRPr="001A34D0">
                              <w:rPr>
                                <w:i/>
                                <w:vertAlign w:val="subscript"/>
                              </w:rPr>
                              <w:t xml:space="preserve"> </w:t>
                            </w:r>
                            <w:r w:rsidRPr="001A34D0">
                              <w:t xml:space="preserve"> - 0,019036 CAR</w:t>
                            </w:r>
                            <w:r>
                              <w:t xml:space="preserve"> </w:t>
                            </w:r>
                            <w:r w:rsidRPr="001A34D0">
                              <w:t>-</w:t>
                            </w:r>
                            <w:r w:rsidRPr="001A34D0">
                              <w:rPr>
                                <w:i/>
                              </w:rPr>
                              <w:t xml:space="preserve"> </w:t>
                            </w:r>
                            <w:r>
                              <w:t xml:space="preserve">0,069874 NPL </w:t>
                            </w:r>
                            <w:r w:rsidRPr="001A34D0">
                              <w:t>+</w:t>
                            </w:r>
                            <w:r>
                              <w:t xml:space="preserve"> 0,009879 </w:t>
                            </w:r>
                            <w:r w:rsidRPr="001A34D0">
                              <w:t>LDR</w:t>
                            </w:r>
                            <w:r>
                              <w:rPr>
                                <w:i/>
                              </w:rPr>
                              <w:t xml:space="preserve"> </w:t>
                            </w:r>
                            <w:r w:rsidRPr="001A34D0">
                              <w:rPr>
                                <w:i/>
                              </w:rPr>
                              <w:t xml:space="preserve">+ </w:t>
                            </w:r>
                            <w:r w:rsidRPr="001A34D0">
                              <w:t>0,010254 BOPO</w:t>
                            </w:r>
                            <w:r>
                              <w:rPr>
                                <w:i/>
                                <w:vertAlign w:val="subscript"/>
                              </w:rPr>
                              <w:t xml:space="preserve"> </w:t>
                            </w:r>
                            <w:r w:rsidRPr="001A34D0">
                              <w:t>-</w:t>
                            </w:r>
                            <w:r>
                              <w:t xml:space="preserve"> </w:t>
                            </w:r>
                            <w:r w:rsidRPr="001A34D0">
                              <w:t>0,035302</w:t>
                            </w:r>
                            <w:r>
                              <w:t xml:space="preserve"> DG</w:t>
                            </w:r>
                          </w:p>
                          <w:p w14:paraId="23D61022" w14:textId="77777777" w:rsidR="00A40E33" w:rsidRPr="008057DA" w:rsidRDefault="00A40E33" w:rsidP="00DF1987">
                            <w:pPr>
                              <w:ind w:left="851" w:hanging="851"/>
                              <w:jc w:val="both"/>
                              <w:rPr>
                                <w:lang w:val="id-ID"/>
                              </w:rPr>
                            </w:pPr>
                          </w:p>
                          <w:p w14:paraId="6635AABC" w14:textId="77777777" w:rsidR="00A40E33" w:rsidRPr="008057DA" w:rsidRDefault="00A40E33" w:rsidP="00947365">
                            <w:pPr>
                              <w:ind w:left="851" w:hanging="851"/>
                              <w:rPr>
                                <w:lang w:val="id-ID"/>
                              </w:rPr>
                            </w:pPr>
                          </w:p>
                          <w:p w14:paraId="33E3EBF4" w14:textId="77777777" w:rsidR="00A40E33" w:rsidRPr="008057DA" w:rsidRDefault="00A40E33" w:rsidP="00947365">
                            <w:pPr>
                              <w:ind w:left="851" w:hanging="851"/>
                              <w:rPr>
                                <w:lang w:val="id-ID"/>
                              </w:rPr>
                            </w:pPr>
                          </w:p>
                          <w:p w14:paraId="49DFBA92" w14:textId="77777777" w:rsidR="00A40E33" w:rsidRPr="008057DA" w:rsidRDefault="00A40E33" w:rsidP="00947365">
                            <w:pPr>
                              <w:ind w:left="851" w:hanging="851"/>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BDFC" id="Rectangle 11" o:spid="_x0000_s1033" style="position:absolute;left:0;text-align:left;margin-left:.4pt;margin-top:4.1pt;width:485.1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kwJycCAABPBAAADgAAAGRycy9lMm9Eb2MueG1srFTbjtMwEH1H4h8sv9M0Ua9R09WqSxHSAisW&#10;PsBxnMTCN8Zuk/L1TJy2dIEnRB4sT2Z8cuaccTZ3vVbkKMBLawqaTqaUCMNtJU1T0K9f9m9WlPjA&#10;TMWUNaKgJ+Hp3fb1q03ncpHZ1qpKAEEQ4/POFbQNweVJ4nkrNPMT64TBZG1Bs4AhNEkFrEN0rZJs&#10;Ol0knYXKgeXCe3z7MCbpNuLXteDhU117EYgqKHILcYW4lsOabDcsb4C5VvIzDfYPLDSTBj96hXpg&#10;gZEDyD+gtORgva3DhFud2LqWXMQesJt0+ls3zy1zIvaC4nh3lcn/P1j+8fgERFYFXVBimEaLPqNo&#10;zDRKkDQd9Omcz7Hs2T3B0KF3j5Z/88TYXYtl4h7Adq1gFbKK9cmLA0Pg8Sgpuw+2Qnh2CDZK1deg&#10;B0AUgfTRkdPVEdEHwvHlIl2k2RqN45hbZavFcj5QSlh+Oe3Ah3fCajJsCgpIPqKz46MPY+mlJLK3&#10;SlZ7qVQMoCl3CsiR4XTs43NG97dlypCuoOt5No/IL3L+FmIan79BaBlwzJXU2MW1iOWDbG9NFYcw&#10;MKnGPXanDDZ5kW60IPRlH41aXkwpbXVCYcGOU423EDethR+UdDjRBfXfDwwEJeq9QXPW6Ww2XIEY&#10;zObLDAO4zZS3GWY4QhU0UDJud2G8NgcHsmnxS2lUw9h7NLSWUeuB8cjqTB+nNrp1vmHDtbiNY9Wv&#10;/8D2JwAAAP//AwBQSwMEFAAGAAgAAAAhAKloS7/bAAAABgEAAA8AAABkcnMvZG93bnJldi54bWxM&#10;jkFPg0AUhO8m/ofNM/FmF2hiW2RpjKYmHlt68faAJ9Cybwm7tOiv93nSyySTmcx82Xa2vbrQ6DvH&#10;BuJFBIq4cnXHjYFjsXtYg/IBucbeMRn4Ig/b/PYmw7R2V97T5RAaJSPsUzTQhjCkWvuqJYt+4QZi&#10;yT7daDGIHRtdj3iVcdvrJIoetcWO5aHFgV5aqs6HyRoou+SI3/viLbKb3TK8z8Vp+ng15v5ufn4C&#10;FWgOf2X4xRd0yIWpdBPXXvUGhDuIJqAk3KziGFQpreV6BTrP9H/8/AcAAP//AwBQSwECLQAUAAYA&#10;CAAAACEA5JnDwPsAAADhAQAAEwAAAAAAAAAAAAAAAAAAAAAAW0NvbnRlbnRfVHlwZXNdLnhtbFBL&#10;AQItABQABgAIAAAAIQAjsmrh1wAAAJQBAAALAAAAAAAAAAAAAAAAACwBAABfcmVscy8ucmVsc1BL&#10;AQItABQABgAIAAAAIQDrqTAnJwIAAE8EAAAOAAAAAAAAAAAAAAAAACwCAABkcnMvZTJvRG9jLnht&#10;bFBLAQItABQABgAIAAAAIQCpaEu/2wAAAAYBAAAPAAAAAAAAAAAAAAAAAH8EAABkcnMvZG93bnJl&#10;di54bWxQSwUGAAAAAAQABADzAAAAhwUAAAAA&#10;">
                <v:textbox>
                  <w:txbxContent>
                    <w:p w14:paraId="1FEEB658" w14:textId="77777777" w:rsidR="00A40E33" w:rsidRPr="008057DA" w:rsidRDefault="00A40E33" w:rsidP="00DF1987">
                      <w:pPr>
                        <w:ind w:left="709" w:hanging="709"/>
                        <w:jc w:val="both"/>
                        <w:rPr>
                          <w:lang w:val="id-ID"/>
                        </w:rPr>
                      </w:pPr>
                      <w:r>
                        <w:rPr>
                          <w:i/>
                          <w:lang w:val="id-ID"/>
                        </w:rPr>
                        <w:t>ROA</w:t>
                      </w:r>
                      <w:r w:rsidRPr="00555568">
                        <w:rPr>
                          <w:i/>
                          <w:lang w:val="id-ID"/>
                        </w:rPr>
                        <w:t xml:space="preserve">= </w:t>
                      </w:r>
                      <w:r>
                        <w:t>(</w:t>
                      </w:r>
                      <w:r w:rsidRPr="001A34D0">
                        <w:t>C</w:t>
                      </w:r>
                      <w:r w:rsidRPr="001A34D0">
                        <w:rPr>
                          <w:vertAlign w:val="subscript"/>
                        </w:rPr>
                        <w:t xml:space="preserve">i </w:t>
                      </w:r>
                      <w:r w:rsidRPr="001A34D0">
                        <w:t>+ 0,007969</w:t>
                      </w:r>
                      <w:r>
                        <w:t>)</w:t>
                      </w:r>
                      <w:r>
                        <w:rPr>
                          <w:i/>
                        </w:rPr>
                        <w:t xml:space="preserve"> </w:t>
                      </w:r>
                      <w:r w:rsidRPr="001A34D0">
                        <w:rPr>
                          <w:i/>
                        </w:rPr>
                        <w:t xml:space="preserve">+ </w:t>
                      </w:r>
                      <w:r w:rsidRPr="001A34D0">
                        <w:t>0,038539 FG</w:t>
                      </w:r>
                      <w:r w:rsidRPr="001A34D0">
                        <w:rPr>
                          <w:i/>
                          <w:vertAlign w:val="subscript"/>
                        </w:rPr>
                        <w:t xml:space="preserve"> </w:t>
                      </w:r>
                      <w:r w:rsidRPr="001A34D0">
                        <w:t xml:space="preserve"> - 0,019036 CAR</w:t>
                      </w:r>
                      <w:r>
                        <w:t xml:space="preserve"> </w:t>
                      </w:r>
                      <w:r w:rsidRPr="001A34D0">
                        <w:t>-</w:t>
                      </w:r>
                      <w:r w:rsidRPr="001A34D0">
                        <w:rPr>
                          <w:i/>
                        </w:rPr>
                        <w:t xml:space="preserve"> </w:t>
                      </w:r>
                      <w:r>
                        <w:t xml:space="preserve">0,069874 NPL </w:t>
                      </w:r>
                      <w:r w:rsidRPr="001A34D0">
                        <w:t>+</w:t>
                      </w:r>
                      <w:r>
                        <w:t xml:space="preserve"> 0,009879 </w:t>
                      </w:r>
                      <w:r w:rsidRPr="001A34D0">
                        <w:t>LDR</w:t>
                      </w:r>
                      <w:r>
                        <w:rPr>
                          <w:i/>
                        </w:rPr>
                        <w:t xml:space="preserve"> </w:t>
                      </w:r>
                      <w:r w:rsidRPr="001A34D0">
                        <w:rPr>
                          <w:i/>
                        </w:rPr>
                        <w:t xml:space="preserve">+ </w:t>
                      </w:r>
                      <w:r w:rsidRPr="001A34D0">
                        <w:t>0,010254 BOPO</w:t>
                      </w:r>
                      <w:r>
                        <w:rPr>
                          <w:i/>
                          <w:vertAlign w:val="subscript"/>
                        </w:rPr>
                        <w:t xml:space="preserve"> </w:t>
                      </w:r>
                      <w:r w:rsidRPr="001A34D0">
                        <w:t>-</w:t>
                      </w:r>
                      <w:r>
                        <w:t xml:space="preserve"> </w:t>
                      </w:r>
                      <w:r w:rsidRPr="001A34D0">
                        <w:t>0,035302</w:t>
                      </w:r>
                      <w:r>
                        <w:t xml:space="preserve"> DG</w:t>
                      </w:r>
                    </w:p>
                    <w:p w14:paraId="23D61022" w14:textId="77777777" w:rsidR="00A40E33" w:rsidRPr="008057DA" w:rsidRDefault="00A40E33" w:rsidP="00DF1987">
                      <w:pPr>
                        <w:ind w:left="851" w:hanging="851"/>
                        <w:jc w:val="both"/>
                        <w:rPr>
                          <w:lang w:val="id-ID"/>
                        </w:rPr>
                      </w:pPr>
                    </w:p>
                    <w:p w14:paraId="6635AABC" w14:textId="77777777" w:rsidR="00A40E33" w:rsidRPr="008057DA" w:rsidRDefault="00A40E33" w:rsidP="00947365">
                      <w:pPr>
                        <w:ind w:left="851" w:hanging="851"/>
                        <w:rPr>
                          <w:lang w:val="id-ID"/>
                        </w:rPr>
                      </w:pPr>
                    </w:p>
                    <w:p w14:paraId="33E3EBF4" w14:textId="77777777" w:rsidR="00A40E33" w:rsidRPr="008057DA" w:rsidRDefault="00A40E33" w:rsidP="00947365">
                      <w:pPr>
                        <w:ind w:left="851" w:hanging="851"/>
                        <w:rPr>
                          <w:lang w:val="id-ID"/>
                        </w:rPr>
                      </w:pPr>
                    </w:p>
                    <w:p w14:paraId="49DFBA92" w14:textId="77777777" w:rsidR="00A40E33" w:rsidRPr="008057DA" w:rsidRDefault="00A40E33" w:rsidP="00947365">
                      <w:pPr>
                        <w:ind w:left="851" w:hanging="851"/>
                        <w:rPr>
                          <w:lang w:val="id-ID"/>
                        </w:rPr>
                      </w:pPr>
                    </w:p>
                  </w:txbxContent>
                </v:textbox>
              </v:rect>
            </w:pict>
          </mc:Fallback>
        </mc:AlternateContent>
      </w:r>
    </w:p>
    <w:p w14:paraId="5FD0F141" w14:textId="77777777" w:rsidR="00490703" w:rsidRDefault="00490703" w:rsidP="0058175B">
      <w:pPr>
        <w:jc w:val="both"/>
        <w:rPr>
          <w:lang w:val="id-ID"/>
        </w:rPr>
      </w:pPr>
    </w:p>
    <w:p w14:paraId="6DC43981" w14:textId="77777777" w:rsidR="00490703" w:rsidRPr="000651C9" w:rsidRDefault="00490703" w:rsidP="0058175B">
      <w:pPr>
        <w:jc w:val="both"/>
        <w:rPr>
          <w:lang w:val="id-ID"/>
        </w:rPr>
      </w:pPr>
      <w:r>
        <w:rPr>
          <w:lang w:val="id-ID"/>
        </w:rPr>
        <w:t xml:space="preserve"> </w:t>
      </w:r>
    </w:p>
    <w:p w14:paraId="1BDF0379" w14:textId="77777777" w:rsidR="004234A6" w:rsidRDefault="00DF1987" w:rsidP="00DF1987">
      <w:pPr>
        <w:rPr>
          <w:lang w:val="id-ID"/>
        </w:rPr>
      </w:pPr>
      <w:r>
        <w:rPr>
          <w:lang w:val="id-ID"/>
        </w:rPr>
        <w:t xml:space="preserve">  </w:t>
      </w:r>
    </w:p>
    <w:p w14:paraId="55950B4D" w14:textId="77777777" w:rsidR="00DF1987" w:rsidRDefault="00DF1987" w:rsidP="00DF1987">
      <w:pPr>
        <w:rPr>
          <w:lang w:val="id-ID"/>
        </w:rPr>
      </w:pPr>
    </w:p>
    <w:p w14:paraId="51DF7AB7" w14:textId="77777777" w:rsidR="00582A0D" w:rsidRDefault="00582A0D" w:rsidP="00353B36">
      <w:pPr>
        <w:jc w:val="both"/>
        <w:rPr>
          <w:lang w:val="id-ID"/>
        </w:rPr>
      </w:pPr>
    </w:p>
    <w:p w14:paraId="175975B4" w14:textId="77777777" w:rsidR="005045F1" w:rsidRDefault="005045F1" w:rsidP="00353B36">
      <w:pPr>
        <w:jc w:val="both"/>
        <w:rPr>
          <w:lang w:val="id-ID"/>
        </w:rPr>
      </w:pPr>
    </w:p>
    <w:tbl>
      <w:tblPr>
        <w:tblpPr w:leftFromText="180" w:rightFromText="180" w:vertAnchor="text" w:horzAnchor="page" w:tblpX="4890" w:tblpY="59"/>
        <w:tblOverlap w:val="never"/>
        <w:tblW w:w="6085" w:type="dxa"/>
        <w:tblLayout w:type="fixed"/>
        <w:tblCellMar>
          <w:left w:w="0" w:type="dxa"/>
          <w:right w:w="0" w:type="dxa"/>
        </w:tblCellMar>
        <w:tblLook w:val="0000" w:firstRow="0" w:lastRow="0" w:firstColumn="0" w:lastColumn="0" w:noHBand="0" w:noVBand="0"/>
      </w:tblPr>
      <w:tblGrid>
        <w:gridCol w:w="3031"/>
        <w:gridCol w:w="238"/>
        <w:gridCol w:w="572"/>
        <w:gridCol w:w="32"/>
        <w:gridCol w:w="688"/>
        <w:gridCol w:w="540"/>
        <w:gridCol w:w="110"/>
        <w:gridCol w:w="160"/>
        <w:gridCol w:w="84"/>
        <w:gridCol w:w="110"/>
        <w:gridCol w:w="386"/>
        <w:gridCol w:w="50"/>
        <w:gridCol w:w="84"/>
      </w:tblGrid>
      <w:tr w:rsidR="005045F1" w:rsidRPr="008057DA" w14:paraId="11DD3ED8" w14:textId="77777777" w:rsidTr="0096540E">
        <w:trPr>
          <w:gridAfter w:val="1"/>
          <w:wAfter w:w="84" w:type="dxa"/>
          <w:trHeight w:val="225"/>
        </w:trPr>
        <w:tc>
          <w:tcPr>
            <w:tcW w:w="6001" w:type="dxa"/>
            <w:gridSpan w:val="12"/>
            <w:tcBorders>
              <w:top w:val="nil"/>
              <w:left w:val="nil"/>
              <w:bottom w:val="nil"/>
              <w:right w:val="nil"/>
            </w:tcBorders>
            <w:vAlign w:val="bottom"/>
          </w:tcPr>
          <w:p w14:paraId="77FB818B" w14:textId="77777777" w:rsidR="005045F1" w:rsidRPr="009E17BF" w:rsidRDefault="005045F1" w:rsidP="005045F1">
            <w:pPr>
              <w:jc w:val="both"/>
              <w:rPr>
                <w:b/>
                <w:lang w:val="id-ID"/>
              </w:rPr>
            </w:pPr>
            <w:r>
              <w:rPr>
                <w:b/>
                <w:lang w:val="id-ID"/>
              </w:rPr>
              <w:t xml:space="preserve">Table 2 : </w:t>
            </w:r>
            <w:r w:rsidRPr="009E17BF">
              <w:rPr>
                <w:b/>
                <w:lang w:val="id-ID"/>
              </w:rPr>
              <w:t>Estimation of Random Effect Model</w:t>
            </w:r>
          </w:p>
          <w:p w14:paraId="06A5990D" w14:textId="77777777" w:rsidR="005045F1" w:rsidRDefault="005045F1" w:rsidP="0096540E">
            <w:pPr>
              <w:autoSpaceDE w:val="0"/>
              <w:autoSpaceDN w:val="0"/>
              <w:adjustRightInd w:val="0"/>
              <w:jc w:val="center"/>
              <w:rPr>
                <w:b/>
                <w:lang w:val="id-ID"/>
              </w:rPr>
            </w:pPr>
            <w:r w:rsidRPr="009E17BF">
              <w:rPr>
                <w:b/>
                <w:lang w:val="id-ID"/>
              </w:rPr>
              <w:t>Determinant Profitability</w:t>
            </w:r>
          </w:p>
          <w:p w14:paraId="19ED3C66" w14:textId="77777777" w:rsidR="005045F1" w:rsidRPr="008057DA" w:rsidRDefault="005045F1" w:rsidP="0096540E">
            <w:pPr>
              <w:autoSpaceDE w:val="0"/>
              <w:autoSpaceDN w:val="0"/>
              <w:adjustRightInd w:val="0"/>
              <w:rPr>
                <w:rFonts w:eastAsia="Times New Roman"/>
                <w:color w:val="000000"/>
                <w:sz w:val="16"/>
                <w:szCs w:val="16"/>
              </w:rPr>
            </w:pPr>
          </w:p>
          <w:p w14:paraId="3D32E321"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 xml:space="preserve">Dependent Variable: ROA? </w:t>
            </w:r>
          </w:p>
          <w:p w14:paraId="64404D2A"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Method: Pooled EGLS (Cross-section random effects)</w:t>
            </w:r>
          </w:p>
        </w:tc>
      </w:tr>
      <w:tr w:rsidR="005045F1" w:rsidRPr="008057DA" w14:paraId="4B8365B9" w14:textId="77777777" w:rsidTr="0096540E">
        <w:trPr>
          <w:gridAfter w:val="1"/>
          <w:wAfter w:w="84" w:type="dxa"/>
          <w:trHeight w:val="225"/>
        </w:trPr>
        <w:tc>
          <w:tcPr>
            <w:tcW w:w="6001" w:type="dxa"/>
            <w:gridSpan w:val="12"/>
            <w:tcBorders>
              <w:top w:val="nil"/>
              <w:left w:val="nil"/>
              <w:bottom w:val="nil"/>
              <w:right w:val="nil"/>
            </w:tcBorders>
            <w:vAlign w:val="bottom"/>
          </w:tcPr>
          <w:p w14:paraId="6FC09E3C"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White diagonal standard errors &amp; covariance (no d.f. correction)</w:t>
            </w:r>
          </w:p>
        </w:tc>
      </w:tr>
      <w:tr w:rsidR="005045F1" w:rsidRPr="008057DA" w14:paraId="6091959C" w14:textId="77777777" w:rsidTr="0096540E">
        <w:trPr>
          <w:gridAfter w:val="1"/>
          <w:wAfter w:w="84" w:type="dxa"/>
          <w:trHeight w:hRule="exact" w:val="90"/>
        </w:trPr>
        <w:tc>
          <w:tcPr>
            <w:tcW w:w="3031" w:type="dxa"/>
            <w:tcBorders>
              <w:top w:val="nil"/>
              <w:left w:val="nil"/>
              <w:bottom w:val="double" w:sz="6" w:space="2" w:color="auto"/>
              <w:right w:val="nil"/>
            </w:tcBorders>
            <w:vAlign w:val="bottom"/>
          </w:tcPr>
          <w:p w14:paraId="0AE242DA"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double" w:sz="6" w:space="2" w:color="auto"/>
              <w:right w:val="nil"/>
            </w:tcBorders>
            <w:vAlign w:val="bottom"/>
          </w:tcPr>
          <w:p w14:paraId="252B541A"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20" w:type="dxa"/>
            <w:gridSpan w:val="2"/>
            <w:tcBorders>
              <w:top w:val="nil"/>
              <w:left w:val="nil"/>
              <w:bottom w:val="double" w:sz="6" w:space="2" w:color="auto"/>
              <w:right w:val="nil"/>
            </w:tcBorders>
            <w:vAlign w:val="bottom"/>
          </w:tcPr>
          <w:p w14:paraId="0A46380C"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3"/>
            <w:tcBorders>
              <w:top w:val="nil"/>
              <w:left w:val="nil"/>
              <w:bottom w:val="double" w:sz="6" w:space="2" w:color="auto"/>
              <w:right w:val="nil"/>
            </w:tcBorders>
            <w:vAlign w:val="bottom"/>
          </w:tcPr>
          <w:p w14:paraId="42E0EC97"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double" w:sz="6" w:space="2" w:color="auto"/>
              <w:right w:val="nil"/>
            </w:tcBorders>
            <w:vAlign w:val="bottom"/>
          </w:tcPr>
          <w:p w14:paraId="49E13A97"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0379B803" w14:textId="77777777" w:rsidTr="0096540E">
        <w:trPr>
          <w:gridAfter w:val="1"/>
          <w:wAfter w:w="84" w:type="dxa"/>
          <w:trHeight w:hRule="exact" w:val="135"/>
        </w:trPr>
        <w:tc>
          <w:tcPr>
            <w:tcW w:w="3031" w:type="dxa"/>
            <w:tcBorders>
              <w:top w:val="nil"/>
              <w:left w:val="nil"/>
              <w:bottom w:val="nil"/>
              <w:right w:val="nil"/>
            </w:tcBorders>
            <w:vAlign w:val="bottom"/>
          </w:tcPr>
          <w:p w14:paraId="4C256AF2"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nil"/>
              <w:right w:val="nil"/>
            </w:tcBorders>
            <w:vAlign w:val="bottom"/>
          </w:tcPr>
          <w:p w14:paraId="5284A79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20" w:type="dxa"/>
            <w:gridSpan w:val="2"/>
            <w:tcBorders>
              <w:top w:val="nil"/>
              <w:left w:val="nil"/>
              <w:bottom w:val="nil"/>
              <w:right w:val="nil"/>
            </w:tcBorders>
            <w:vAlign w:val="bottom"/>
          </w:tcPr>
          <w:p w14:paraId="461F5335"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3"/>
            <w:tcBorders>
              <w:top w:val="nil"/>
              <w:left w:val="nil"/>
              <w:bottom w:val="nil"/>
              <w:right w:val="nil"/>
            </w:tcBorders>
            <w:vAlign w:val="bottom"/>
          </w:tcPr>
          <w:p w14:paraId="3AC7E6EE"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nil"/>
              <w:right w:val="nil"/>
            </w:tcBorders>
            <w:vAlign w:val="bottom"/>
          </w:tcPr>
          <w:p w14:paraId="21F307AA"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04ED260D" w14:textId="77777777" w:rsidTr="0096540E">
        <w:trPr>
          <w:gridAfter w:val="1"/>
          <w:wAfter w:w="84" w:type="dxa"/>
          <w:trHeight w:val="225"/>
        </w:trPr>
        <w:tc>
          <w:tcPr>
            <w:tcW w:w="3031" w:type="dxa"/>
            <w:tcBorders>
              <w:top w:val="nil"/>
              <w:left w:val="nil"/>
              <w:bottom w:val="nil"/>
              <w:right w:val="nil"/>
            </w:tcBorders>
            <w:vAlign w:val="bottom"/>
          </w:tcPr>
          <w:p w14:paraId="6F9507DB"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Variable</w:t>
            </w:r>
          </w:p>
        </w:tc>
        <w:tc>
          <w:tcPr>
            <w:tcW w:w="810" w:type="dxa"/>
            <w:gridSpan w:val="2"/>
            <w:tcBorders>
              <w:top w:val="nil"/>
              <w:left w:val="nil"/>
              <w:bottom w:val="nil"/>
              <w:right w:val="nil"/>
            </w:tcBorders>
            <w:vAlign w:val="bottom"/>
          </w:tcPr>
          <w:p w14:paraId="435B425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Coefficient</w:t>
            </w:r>
          </w:p>
        </w:tc>
        <w:tc>
          <w:tcPr>
            <w:tcW w:w="720" w:type="dxa"/>
            <w:gridSpan w:val="2"/>
            <w:tcBorders>
              <w:top w:val="nil"/>
              <w:left w:val="nil"/>
              <w:bottom w:val="nil"/>
              <w:right w:val="nil"/>
            </w:tcBorders>
            <w:vAlign w:val="bottom"/>
          </w:tcPr>
          <w:p w14:paraId="1F0BC45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Std. Error</w:t>
            </w:r>
          </w:p>
        </w:tc>
        <w:tc>
          <w:tcPr>
            <w:tcW w:w="810" w:type="dxa"/>
            <w:gridSpan w:val="3"/>
            <w:tcBorders>
              <w:top w:val="nil"/>
              <w:left w:val="nil"/>
              <w:bottom w:val="nil"/>
              <w:right w:val="nil"/>
            </w:tcBorders>
            <w:vAlign w:val="bottom"/>
          </w:tcPr>
          <w:p w14:paraId="21771552"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t-Statistic</w:t>
            </w:r>
          </w:p>
        </w:tc>
        <w:tc>
          <w:tcPr>
            <w:tcW w:w="630" w:type="dxa"/>
            <w:gridSpan w:val="4"/>
            <w:tcBorders>
              <w:top w:val="nil"/>
              <w:left w:val="nil"/>
              <w:bottom w:val="nil"/>
              <w:right w:val="nil"/>
            </w:tcBorders>
            <w:vAlign w:val="bottom"/>
          </w:tcPr>
          <w:p w14:paraId="70799F9C"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Prob.  </w:t>
            </w:r>
          </w:p>
        </w:tc>
      </w:tr>
      <w:tr w:rsidR="005045F1" w:rsidRPr="008057DA" w14:paraId="68DB4D99" w14:textId="77777777" w:rsidTr="0096540E">
        <w:trPr>
          <w:gridAfter w:val="1"/>
          <w:wAfter w:w="84" w:type="dxa"/>
          <w:trHeight w:hRule="exact" w:val="90"/>
        </w:trPr>
        <w:tc>
          <w:tcPr>
            <w:tcW w:w="3031" w:type="dxa"/>
            <w:tcBorders>
              <w:top w:val="nil"/>
              <w:left w:val="nil"/>
              <w:bottom w:val="double" w:sz="6" w:space="2" w:color="auto"/>
              <w:right w:val="nil"/>
            </w:tcBorders>
            <w:vAlign w:val="bottom"/>
          </w:tcPr>
          <w:p w14:paraId="18D9764D"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double" w:sz="6" w:space="2" w:color="auto"/>
              <w:right w:val="nil"/>
            </w:tcBorders>
            <w:vAlign w:val="bottom"/>
          </w:tcPr>
          <w:p w14:paraId="699C1693"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20" w:type="dxa"/>
            <w:gridSpan w:val="2"/>
            <w:tcBorders>
              <w:top w:val="nil"/>
              <w:left w:val="nil"/>
              <w:bottom w:val="double" w:sz="6" w:space="2" w:color="auto"/>
              <w:right w:val="nil"/>
            </w:tcBorders>
            <w:vAlign w:val="bottom"/>
          </w:tcPr>
          <w:p w14:paraId="241B04DB"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3"/>
            <w:tcBorders>
              <w:top w:val="nil"/>
              <w:left w:val="nil"/>
              <w:bottom w:val="double" w:sz="6" w:space="2" w:color="auto"/>
              <w:right w:val="nil"/>
            </w:tcBorders>
            <w:vAlign w:val="bottom"/>
          </w:tcPr>
          <w:p w14:paraId="3B961E46"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double" w:sz="6" w:space="2" w:color="auto"/>
              <w:right w:val="nil"/>
            </w:tcBorders>
            <w:vAlign w:val="bottom"/>
          </w:tcPr>
          <w:p w14:paraId="09143FAC"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573D867F" w14:textId="77777777" w:rsidTr="005045F1">
        <w:trPr>
          <w:gridAfter w:val="1"/>
          <w:wAfter w:w="84" w:type="dxa"/>
          <w:trHeight w:hRule="exact" w:val="393"/>
        </w:trPr>
        <w:tc>
          <w:tcPr>
            <w:tcW w:w="3031" w:type="dxa"/>
            <w:tcBorders>
              <w:top w:val="nil"/>
              <w:left w:val="nil"/>
              <w:bottom w:val="nil"/>
              <w:right w:val="nil"/>
            </w:tcBorders>
            <w:vAlign w:val="bottom"/>
          </w:tcPr>
          <w:p w14:paraId="403CD58D"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nil"/>
              <w:right w:val="nil"/>
            </w:tcBorders>
            <w:vAlign w:val="bottom"/>
          </w:tcPr>
          <w:p w14:paraId="78D95C6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20" w:type="dxa"/>
            <w:gridSpan w:val="2"/>
            <w:tcBorders>
              <w:top w:val="nil"/>
              <w:left w:val="nil"/>
              <w:bottom w:val="nil"/>
              <w:right w:val="nil"/>
            </w:tcBorders>
            <w:vAlign w:val="bottom"/>
          </w:tcPr>
          <w:p w14:paraId="45BC02D6"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3"/>
            <w:tcBorders>
              <w:top w:val="nil"/>
              <w:left w:val="nil"/>
              <w:bottom w:val="nil"/>
              <w:right w:val="nil"/>
            </w:tcBorders>
            <w:vAlign w:val="bottom"/>
          </w:tcPr>
          <w:p w14:paraId="58C5B6F7"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nil"/>
              <w:right w:val="nil"/>
            </w:tcBorders>
            <w:vAlign w:val="bottom"/>
          </w:tcPr>
          <w:p w14:paraId="3408F8CC"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3957306E" w14:textId="77777777" w:rsidTr="0096540E">
        <w:trPr>
          <w:gridAfter w:val="1"/>
          <w:wAfter w:w="84" w:type="dxa"/>
          <w:trHeight w:val="225"/>
        </w:trPr>
        <w:tc>
          <w:tcPr>
            <w:tcW w:w="3031" w:type="dxa"/>
            <w:tcBorders>
              <w:top w:val="nil"/>
              <w:left w:val="nil"/>
              <w:bottom w:val="nil"/>
              <w:right w:val="nil"/>
            </w:tcBorders>
            <w:vAlign w:val="bottom"/>
          </w:tcPr>
          <w:p w14:paraId="6E5D8E8D"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C</w:t>
            </w:r>
          </w:p>
        </w:tc>
        <w:tc>
          <w:tcPr>
            <w:tcW w:w="810" w:type="dxa"/>
            <w:gridSpan w:val="2"/>
            <w:tcBorders>
              <w:top w:val="nil"/>
              <w:left w:val="nil"/>
              <w:bottom w:val="nil"/>
              <w:right w:val="nil"/>
            </w:tcBorders>
            <w:vAlign w:val="bottom"/>
          </w:tcPr>
          <w:p w14:paraId="16329DF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0.007969</w:t>
            </w:r>
          </w:p>
        </w:tc>
        <w:tc>
          <w:tcPr>
            <w:tcW w:w="720" w:type="dxa"/>
            <w:gridSpan w:val="2"/>
            <w:tcBorders>
              <w:top w:val="nil"/>
              <w:left w:val="nil"/>
              <w:bottom w:val="nil"/>
              <w:right w:val="nil"/>
            </w:tcBorders>
            <w:vAlign w:val="bottom"/>
          </w:tcPr>
          <w:p w14:paraId="2EE24E5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0.009176</w:t>
            </w:r>
          </w:p>
        </w:tc>
        <w:tc>
          <w:tcPr>
            <w:tcW w:w="810" w:type="dxa"/>
            <w:gridSpan w:val="3"/>
            <w:tcBorders>
              <w:top w:val="nil"/>
              <w:left w:val="nil"/>
              <w:bottom w:val="nil"/>
              <w:right w:val="nil"/>
            </w:tcBorders>
            <w:vAlign w:val="bottom"/>
          </w:tcPr>
          <w:p w14:paraId="3AE3478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0.868480</w:t>
            </w:r>
          </w:p>
        </w:tc>
        <w:tc>
          <w:tcPr>
            <w:tcW w:w="630" w:type="dxa"/>
            <w:gridSpan w:val="4"/>
            <w:tcBorders>
              <w:top w:val="nil"/>
              <w:left w:val="nil"/>
              <w:bottom w:val="nil"/>
              <w:right w:val="nil"/>
            </w:tcBorders>
            <w:vAlign w:val="bottom"/>
          </w:tcPr>
          <w:p w14:paraId="3C3ADDA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0.3865</w:t>
            </w:r>
          </w:p>
        </w:tc>
      </w:tr>
      <w:tr w:rsidR="005045F1" w:rsidRPr="008057DA" w14:paraId="02EE93EF" w14:textId="77777777" w:rsidTr="0096540E">
        <w:trPr>
          <w:gridAfter w:val="1"/>
          <w:wAfter w:w="84" w:type="dxa"/>
          <w:trHeight w:val="225"/>
        </w:trPr>
        <w:tc>
          <w:tcPr>
            <w:tcW w:w="3031" w:type="dxa"/>
            <w:tcBorders>
              <w:top w:val="nil"/>
              <w:left w:val="nil"/>
              <w:bottom w:val="nil"/>
              <w:right w:val="nil"/>
            </w:tcBorders>
            <w:vAlign w:val="bottom"/>
          </w:tcPr>
          <w:p w14:paraId="60E9CC18" w14:textId="77777777" w:rsidR="005045F1" w:rsidRPr="008057DA" w:rsidRDefault="005045F1" w:rsidP="0096540E">
            <w:pPr>
              <w:autoSpaceDE w:val="0"/>
              <w:autoSpaceDN w:val="0"/>
              <w:adjustRightInd w:val="0"/>
              <w:jc w:val="center"/>
              <w:rPr>
                <w:rFonts w:eastAsia="Times New Roman"/>
                <w:b/>
                <w:color w:val="000000"/>
                <w:sz w:val="16"/>
                <w:szCs w:val="16"/>
              </w:rPr>
            </w:pPr>
            <w:r w:rsidRPr="008057DA">
              <w:rPr>
                <w:rFonts w:eastAsia="Times New Roman"/>
                <w:b/>
                <w:color w:val="000000"/>
                <w:sz w:val="16"/>
                <w:szCs w:val="16"/>
              </w:rPr>
              <w:t>FG?</w:t>
            </w:r>
          </w:p>
        </w:tc>
        <w:tc>
          <w:tcPr>
            <w:tcW w:w="810" w:type="dxa"/>
            <w:gridSpan w:val="2"/>
            <w:tcBorders>
              <w:top w:val="nil"/>
              <w:left w:val="nil"/>
              <w:bottom w:val="nil"/>
              <w:right w:val="nil"/>
            </w:tcBorders>
            <w:vAlign w:val="bottom"/>
          </w:tcPr>
          <w:p w14:paraId="04479049"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0.038539</w:t>
            </w:r>
          </w:p>
        </w:tc>
        <w:tc>
          <w:tcPr>
            <w:tcW w:w="720" w:type="dxa"/>
            <w:gridSpan w:val="2"/>
            <w:tcBorders>
              <w:top w:val="nil"/>
              <w:left w:val="nil"/>
              <w:bottom w:val="nil"/>
              <w:right w:val="nil"/>
            </w:tcBorders>
            <w:vAlign w:val="bottom"/>
          </w:tcPr>
          <w:p w14:paraId="4876F2A5"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0.022106</w:t>
            </w:r>
          </w:p>
        </w:tc>
        <w:tc>
          <w:tcPr>
            <w:tcW w:w="810" w:type="dxa"/>
            <w:gridSpan w:val="3"/>
            <w:tcBorders>
              <w:top w:val="nil"/>
              <w:left w:val="nil"/>
              <w:bottom w:val="nil"/>
              <w:right w:val="nil"/>
            </w:tcBorders>
            <w:vAlign w:val="bottom"/>
          </w:tcPr>
          <w:p w14:paraId="164791A4"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1.743334</w:t>
            </w:r>
          </w:p>
        </w:tc>
        <w:tc>
          <w:tcPr>
            <w:tcW w:w="630" w:type="dxa"/>
            <w:gridSpan w:val="4"/>
            <w:tcBorders>
              <w:top w:val="nil"/>
              <w:left w:val="nil"/>
              <w:bottom w:val="nil"/>
              <w:right w:val="nil"/>
            </w:tcBorders>
            <w:vAlign w:val="bottom"/>
          </w:tcPr>
          <w:p w14:paraId="52AAF10E"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0.0833</w:t>
            </w:r>
          </w:p>
        </w:tc>
      </w:tr>
      <w:tr w:rsidR="005045F1" w:rsidRPr="008057DA" w14:paraId="6257ADE1" w14:textId="77777777" w:rsidTr="0096540E">
        <w:trPr>
          <w:gridAfter w:val="1"/>
          <w:wAfter w:w="84" w:type="dxa"/>
          <w:trHeight w:val="225"/>
        </w:trPr>
        <w:tc>
          <w:tcPr>
            <w:tcW w:w="3031" w:type="dxa"/>
            <w:tcBorders>
              <w:top w:val="nil"/>
              <w:left w:val="nil"/>
              <w:bottom w:val="nil"/>
              <w:right w:val="nil"/>
            </w:tcBorders>
            <w:vAlign w:val="bottom"/>
          </w:tcPr>
          <w:p w14:paraId="15ADF63E" w14:textId="77777777" w:rsidR="005045F1" w:rsidRPr="008057DA" w:rsidRDefault="005045F1" w:rsidP="0096540E">
            <w:pPr>
              <w:autoSpaceDE w:val="0"/>
              <w:autoSpaceDN w:val="0"/>
              <w:adjustRightInd w:val="0"/>
              <w:jc w:val="center"/>
              <w:rPr>
                <w:rFonts w:eastAsia="Times New Roman"/>
                <w:b/>
                <w:color w:val="000000"/>
                <w:sz w:val="16"/>
                <w:szCs w:val="16"/>
              </w:rPr>
            </w:pPr>
            <w:r w:rsidRPr="008057DA">
              <w:rPr>
                <w:rFonts w:eastAsia="Times New Roman"/>
                <w:b/>
                <w:color w:val="000000"/>
                <w:sz w:val="16"/>
                <w:szCs w:val="16"/>
              </w:rPr>
              <w:t>CAR?</w:t>
            </w:r>
          </w:p>
        </w:tc>
        <w:tc>
          <w:tcPr>
            <w:tcW w:w="810" w:type="dxa"/>
            <w:gridSpan w:val="2"/>
            <w:tcBorders>
              <w:top w:val="nil"/>
              <w:left w:val="nil"/>
              <w:bottom w:val="nil"/>
              <w:right w:val="nil"/>
            </w:tcBorders>
            <w:vAlign w:val="bottom"/>
          </w:tcPr>
          <w:p w14:paraId="4DCC67C4"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-0.019036</w:t>
            </w:r>
          </w:p>
        </w:tc>
        <w:tc>
          <w:tcPr>
            <w:tcW w:w="720" w:type="dxa"/>
            <w:gridSpan w:val="2"/>
            <w:tcBorders>
              <w:top w:val="nil"/>
              <w:left w:val="nil"/>
              <w:bottom w:val="nil"/>
              <w:right w:val="nil"/>
            </w:tcBorders>
            <w:vAlign w:val="bottom"/>
          </w:tcPr>
          <w:p w14:paraId="35B5A05F"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0.005300</w:t>
            </w:r>
          </w:p>
        </w:tc>
        <w:tc>
          <w:tcPr>
            <w:tcW w:w="810" w:type="dxa"/>
            <w:gridSpan w:val="3"/>
            <w:tcBorders>
              <w:top w:val="nil"/>
              <w:left w:val="nil"/>
              <w:bottom w:val="nil"/>
              <w:right w:val="nil"/>
            </w:tcBorders>
            <w:vAlign w:val="bottom"/>
          </w:tcPr>
          <w:p w14:paraId="13D63202"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-3.591836</w:t>
            </w:r>
          </w:p>
        </w:tc>
        <w:tc>
          <w:tcPr>
            <w:tcW w:w="630" w:type="dxa"/>
            <w:gridSpan w:val="4"/>
            <w:tcBorders>
              <w:top w:val="nil"/>
              <w:left w:val="nil"/>
              <w:bottom w:val="nil"/>
              <w:right w:val="nil"/>
            </w:tcBorders>
            <w:vAlign w:val="bottom"/>
          </w:tcPr>
          <w:p w14:paraId="1B4933DF"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0.0004</w:t>
            </w:r>
          </w:p>
        </w:tc>
      </w:tr>
      <w:tr w:rsidR="005045F1" w:rsidRPr="008057DA" w14:paraId="6BDFB29F" w14:textId="77777777" w:rsidTr="0096540E">
        <w:trPr>
          <w:gridAfter w:val="1"/>
          <w:wAfter w:w="84" w:type="dxa"/>
          <w:trHeight w:val="225"/>
        </w:trPr>
        <w:tc>
          <w:tcPr>
            <w:tcW w:w="3031" w:type="dxa"/>
            <w:tcBorders>
              <w:top w:val="nil"/>
              <w:left w:val="nil"/>
              <w:bottom w:val="nil"/>
              <w:right w:val="nil"/>
            </w:tcBorders>
            <w:vAlign w:val="bottom"/>
          </w:tcPr>
          <w:p w14:paraId="58B66F99" w14:textId="77777777" w:rsidR="005045F1" w:rsidRPr="008057DA" w:rsidRDefault="005045F1" w:rsidP="0096540E">
            <w:pPr>
              <w:autoSpaceDE w:val="0"/>
              <w:autoSpaceDN w:val="0"/>
              <w:adjustRightInd w:val="0"/>
              <w:jc w:val="center"/>
              <w:rPr>
                <w:rFonts w:eastAsia="Times New Roman"/>
                <w:b/>
                <w:color w:val="000000"/>
                <w:sz w:val="16"/>
                <w:szCs w:val="16"/>
              </w:rPr>
            </w:pPr>
            <w:r w:rsidRPr="008057DA">
              <w:rPr>
                <w:rFonts w:eastAsia="Times New Roman"/>
                <w:b/>
                <w:color w:val="000000"/>
                <w:sz w:val="16"/>
                <w:szCs w:val="16"/>
              </w:rPr>
              <w:t>NPL?</w:t>
            </w:r>
          </w:p>
        </w:tc>
        <w:tc>
          <w:tcPr>
            <w:tcW w:w="810" w:type="dxa"/>
            <w:gridSpan w:val="2"/>
            <w:tcBorders>
              <w:top w:val="nil"/>
              <w:left w:val="nil"/>
              <w:bottom w:val="nil"/>
              <w:right w:val="nil"/>
            </w:tcBorders>
            <w:vAlign w:val="bottom"/>
          </w:tcPr>
          <w:p w14:paraId="69E418C5"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-0.069874</w:t>
            </w:r>
          </w:p>
        </w:tc>
        <w:tc>
          <w:tcPr>
            <w:tcW w:w="720" w:type="dxa"/>
            <w:gridSpan w:val="2"/>
            <w:tcBorders>
              <w:top w:val="nil"/>
              <w:left w:val="nil"/>
              <w:bottom w:val="nil"/>
              <w:right w:val="nil"/>
            </w:tcBorders>
            <w:vAlign w:val="bottom"/>
          </w:tcPr>
          <w:p w14:paraId="6E9735C0"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0.031652</w:t>
            </w:r>
          </w:p>
        </w:tc>
        <w:tc>
          <w:tcPr>
            <w:tcW w:w="810" w:type="dxa"/>
            <w:gridSpan w:val="3"/>
            <w:tcBorders>
              <w:top w:val="nil"/>
              <w:left w:val="nil"/>
              <w:bottom w:val="nil"/>
              <w:right w:val="nil"/>
            </w:tcBorders>
            <w:vAlign w:val="bottom"/>
          </w:tcPr>
          <w:p w14:paraId="39F5EE14"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-2.207598</w:t>
            </w:r>
          </w:p>
        </w:tc>
        <w:tc>
          <w:tcPr>
            <w:tcW w:w="630" w:type="dxa"/>
            <w:gridSpan w:val="4"/>
            <w:tcBorders>
              <w:top w:val="nil"/>
              <w:left w:val="nil"/>
              <w:bottom w:val="nil"/>
              <w:right w:val="nil"/>
            </w:tcBorders>
            <w:vAlign w:val="bottom"/>
          </w:tcPr>
          <w:p w14:paraId="2ABB3B53"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0.0287</w:t>
            </w:r>
          </w:p>
        </w:tc>
      </w:tr>
      <w:tr w:rsidR="005045F1" w:rsidRPr="008057DA" w14:paraId="2AF9EA7F" w14:textId="77777777" w:rsidTr="0096540E">
        <w:trPr>
          <w:gridAfter w:val="1"/>
          <w:wAfter w:w="84" w:type="dxa"/>
          <w:trHeight w:val="225"/>
        </w:trPr>
        <w:tc>
          <w:tcPr>
            <w:tcW w:w="3031" w:type="dxa"/>
            <w:tcBorders>
              <w:top w:val="nil"/>
              <w:left w:val="nil"/>
              <w:bottom w:val="nil"/>
              <w:right w:val="nil"/>
            </w:tcBorders>
            <w:vAlign w:val="bottom"/>
          </w:tcPr>
          <w:p w14:paraId="7FD464EF"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LDR?</w:t>
            </w:r>
          </w:p>
        </w:tc>
        <w:tc>
          <w:tcPr>
            <w:tcW w:w="810" w:type="dxa"/>
            <w:gridSpan w:val="2"/>
            <w:tcBorders>
              <w:top w:val="nil"/>
              <w:left w:val="nil"/>
              <w:bottom w:val="nil"/>
              <w:right w:val="nil"/>
            </w:tcBorders>
            <w:vAlign w:val="bottom"/>
          </w:tcPr>
          <w:p w14:paraId="123129AD"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0.009879</w:t>
            </w:r>
          </w:p>
        </w:tc>
        <w:tc>
          <w:tcPr>
            <w:tcW w:w="720" w:type="dxa"/>
            <w:gridSpan w:val="2"/>
            <w:tcBorders>
              <w:top w:val="nil"/>
              <w:left w:val="nil"/>
              <w:bottom w:val="nil"/>
              <w:right w:val="nil"/>
            </w:tcBorders>
            <w:vAlign w:val="bottom"/>
          </w:tcPr>
          <w:p w14:paraId="03188747"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0.008031</w:t>
            </w:r>
          </w:p>
        </w:tc>
        <w:tc>
          <w:tcPr>
            <w:tcW w:w="810" w:type="dxa"/>
            <w:gridSpan w:val="3"/>
            <w:tcBorders>
              <w:top w:val="nil"/>
              <w:left w:val="nil"/>
              <w:bottom w:val="nil"/>
              <w:right w:val="nil"/>
            </w:tcBorders>
            <w:vAlign w:val="bottom"/>
          </w:tcPr>
          <w:p w14:paraId="5F0A4F7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1.230140</w:t>
            </w:r>
          </w:p>
        </w:tc>
        <w:tc>
          <w:tcPr>
            <w:tcW w:w="630" w:type="dxa"/>
            <w:gridSpan w:val="4"/>
            <w:tcBorders>
              <w:top w:val="nil"/>
              <w:left w:val="nil"/>
              <w:bottom w:val="nil"/>
              <w:right w:val="nil"/>
            </w:tcBorders>
            <w:vAlign w:val="bottom"/>
          </w:tcPr>
          <w:p w14:paraId="2997433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0.2205</w:t>
            </w:r>
          </w:p>
        </w:tc>
      </w:tr>
      <w:tr w:rsidR="005045F1" w:rsidRPr="008057DA" w14:paraId="3246E9FC" w14:textId="77777777" w:rsidTr="0096540E">
        <w:trPr>
          <w:gridAfter w:val="1"/>
          <w:wAfter w:w="84" w:type="dxa"/>
          <w:trHeight w:val="225"/>
        </w:trPr>
        <w:tc>
          <w:tcPr>
            <w:tcW w:w="3031" w:type="dxa"/>
            <w:tcBorders>
              <w:top w:val="nil"/>
              <w:left w:val="nil"/>
              <w:bottom w:val="nil"/>
              <w:right w:val="nil"/>
            </w:tcBorders>
            <w:vAlign w:val="bottom"/>
          </w:tcPr>
          <w:p w14:paraId="50A5E45A"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lastRenderedPageBreak/>
              <w:t>BOPO?</w:t>
            </w:r>
          </w:p>
        </w:tc>
        <w:tc>
          <w:tcPr>
            <w:tcW w:w="810" w:type="dxa"/>
            <w:gridSpan w:val="2"/>
            <w:tcBorders>
              <w:top w:val="nil"/>
              <w:left w:val="nil"/>
              <w:bottom w:val="nil"/>
              <w:right w:val="nil"/>
            </w:tcBorders>
            <w:vAlign w:val="bottom"/>
          </w:tcPr>
          <w:p w14:paraId="07361ED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0.010254</w:t>
            </w:r>
          </w:p>
        </w:tc>
        <w:tc>
          <w:tcPr>
            <w:tcW w:w="720" w:type="dxa"/>
            <w:gridSpan w:val="2"/>
            <w:tcBorders>
              <w:top w:val="nil"/>
              <w:left w:val="nil"/>
              <w:bottom w:val="nil"/>
              <w:right w:val="nil"/>
            </w:tcBorders>
            <w:vAlign w:val="bottom"/>
          </w:tcPr>
          <w:p w14:paraId="424A2F9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0.006515</w:t>
            </w:r>
          </w:p>
        </w:tc>
        <w:tc>
          <w:tcPr>
            <w:tcW w:w="810" w:type="dxa"/>
            <w:gridSpan w:val="3"/>
            <w:tcBorders>
              <w:top w:val="nil"/>
              <w:left w:val="nil"/>
              <w:bottom w:val="nil"/>
              <w:right w:val="nil"/>
            </w:tcBorders>
            <w:vAlign w:val="bottom"/>
          </w:tcPr>
          <w:p w14:paraId="3311907F"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1.573965</w:t>
            </w:r>
          </w:p>
        </w:tc>
        <w:tc>
          <w:tcPr>
            <w:tcW w:w="630" w:type="dxa"/>
            <w:gridSpan w:val="4"/>
            <w:tcBorders>
              <w:top w:val="nil"/>
              <w:left w:val="nil"/>
              <w:bottom w:val="nil"/>
              <w:right w:val="nil"/>
            </w:tcBorders>
            <w:vAlign w:val="bottom"/>
          </w:tcPr>
          <w:p w14:paraId="43E138A5"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0.1175</w:t>
            </w:r>
          </w:p>
        </w:tc>
      </w:tr>
      <w:tr w:rsidR="005045F1" w:rsidRPr="008057DA" w14:paraId="09488B13" w14:textId="77777777" w:rsidTr="0096540E">
        <w:trPr>
          <w:gridAfter w:val="1"/>
          <w:wAfter w:w="84" w:type="dxa"/>
          <w:trHeight w:val="225"/>
        </w:trPr>
        <w:tc>
          <w:tcPr>
            <w:tcW w:w="3031" w:type="dxa"/>
            <w:tcBorders>
              <w:top w:val="nil"/>
              <w:left w:val="nil"/>
              <w:bottom w:val="nil"/>
              <w:right w:val="nil"/>
            </w:tcBorders>
            <w:vAlign w:val="bottom"/>
          </w:tcPr>
          <w:p w14:paraId="658B2C6E" w14:textId="77777777" w:rsidR="005045F1" w:rsidRPr="008057DA" w:rsidRDefault="005045F1" w:rsidP="0096540E">
            <w:pPr>
              <w:autoSpaceDE w:val="0"/>
              <w:autoSpaceDN w:val="0"/>
              <w:adjustRightInd w:val="0"/>
              <w:jc w:val="center"/>
              <w:rPr>
                <w:rFonts w:eastAsia="Times New Roman"/>
                <w:b/>
                <w:color w:val="000000"/>
                <w:sz w:val="16"/>
                <w:szCs w:val="16"/>
              </w:rPr>
            </w:pPr>
            <w:r w:rsidRPr="008057DA">
              <w:rPr>
                <w:rFonts w:eastAsia="Times New Roman"/>
                <w:b/>
                <w:color w:val="000000"/>
                <w:sz w:val="16"/>
                <w:szCs w:val="16"/>
              </w:rPr>
              <w:t>DG?</w:t>
            </w:r>
          </w:p>
        </w:tc>
        <w:tc>
          <w:tcPr>
            <w:tcW w:w="810" w:type="dxa"/>
            <w:gridSpan w:val="2"/>
            <w:tcBorders>
              <w:top w:val="nil"/>
              <w:left w:val="nil"/>
              <w:bottom w:val="nil"/>
              <w:right w:val="nil"/>
            </w:tcBorders>
            <w:vAlign w:val="bottom"/>
          </w:tcPr>
          <w:p w14:paraId="27346788"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-0.035302</w:t>
            </w:r>
          </w:p>
        </w:tc>
        <w:tc>
          <w:tcPr>
            <w:tcW w:w="720" w:type="dxa"/>
            <w:gridSpan w:val="2"/>
            <w:tcBorders>
              <w:top w:val="nil"/>
              <w:left w:val="nil"/>
              <w:bottom w:val="nil"/>
              <w:right w:val="nil"/>
            </w:tcBorders>
            <w:vAlign w:val="bottom"/>
          </w:tcPr>
          <w:p w14:paraId="207491A4"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0.019072</w:t>
            </w:r>
          </w:p>
        </w:tc>
        <w:tc>
          <w:tcPr>
            <w:tcW w:w="810" w:type="dxa"/>
            <w:gridSpan w:val="3"/>
            <w:tcBorders>
              <w:top w:val="nil"/>
              <w:left w:val="nil"/>
              <w:bottom w:val="nil"/>
              <w:right w:val="nil"/>
            </w:tcBorders>
            <w:vAlign w:val="bottom"/>
          </w:tcPr>
          <w:p w14:paraId="33041420"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-1.850959</w:t>
            </w:r>
          </w:p>
        </w:tc>
        <w:tc>
          <w:tcPr>
            <w:tcW w:w="630" w:type="dxa"/>
            <w:gridSpan w:val="4"/>
            <w:tcBorders>
              <w:top w:val="nil"/>
              <w:left w:val="nil"/>
              <w:bottom w:val="nil"/>
              <w:right w:val="nil"/>
            </w:tcBorders>
            <w:vAlign w:val="bottom"/>
          </w:tcPr>
          <w:p w14:paraId="3E84D768"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0.0661</w:t>
            </w:r>
          </w:p>
        </w:tc>
      </w:tr>
      <w:tr w:rsidR="005045F1" w:rsidRPr="008057DA" w14:paraId="1FA42293" w14:textId="77777777" w:rsidTr="0096540E">
        <w:trPr>
          <w:gridAfter w:val="1"/>
          <w:wAfter w:w="84" w:type="dxa"/>
          <w:trHeight w:val="225"/>
        </w:trPr>
        <w:tc>
          <w:tcPr>
            <w:tcW w:w="3031" w:type="dxa"/>
            <w:tcBorders>
              <w:top w:val="nil"/>
              <w:left w:val="nil"/>
              <w:bottom w:val="nil"/>
              <w:right w:val="nil"/>
            </w:tcBorders>
            <w:vAlign w:val="bottom"/>
          </w:tcPr>
          <w:p w14:paraId="3F0C06A8"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Random Effects (Cross)</w:t>
            </w:r>
          </w:p>
        </w:tc>
        <w:tc>
          <w:tcPr>
            <w:tcW w:w="810" w:type="dxa"/>
            <w:gridSpan w:val="2"/>
            <w:tcBorders>
              <w:top w:val="nil"/>
              <w:left w:val="nil"/>
              <w:bottom w:val="nil"/>
              <w:right w:val="nil"/>
            </w:tcBorders>
            <w:vAlign w:val="bottom"/>
          </w:tcPr>
          <w:p w14:paraId="4B68420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20" w:type="dxa"/>
            <w:gridSpan w:val="2"/>
            <w:tcBorders>
              <w:top w:val="nil"/>
              <w:left w:val="nil"/>
              <w:bottom w:val="nil"/>
              <w:right w:val="nil"/>
            </w:tcBorders>
            <w:vAlign w:val="bottom"/>
          </w:tcPr>
          <w:p w14:paraId="79BB09EB"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3"/>
            <w:tcBorders>
              <w:top w:val="nil"/>
              <w:left w:val="nil"/>
              <w:bottom w:val="nil"/>
              <w:right w:val="nil"/>
            </w:tcBorders>
            <w:vAlign w:val="bottom"/>
          </w:tcPr>
          <w:p w14:paraId="17787FB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nil"/>
              <w:right w:val="nil"/>
            </w:tcBorders>
            <w:vAlign w:val="bottom"/>
          </w:tcPr>
          <w:p w14:paraId="04C89FB9"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48A8D1CB" w14:textId="77777777" w:rsidTr="0096540E">
        <w:trPr>
          <w:gridAfter w:val="1"/>
          <w:wAfter w:w="84" w:type="dxa"/>
          <w:trHeight w:val="225"/>
        </w:trPr>
        <w:tc>
          <w:tcPr>
            <w:tcW w:w="3031" w:type="dxa"/>
            <w:tcBorders>
              <w:top w:val="nil"/>
              <w:left w:val="nil"/>
              <w:bottom w:val="nil"/>
              <w:right w:val="nil"/>
            </w:tcBorders>
            <w:vAlign w:val="bottom"/>
          </w:tcPr>
          <w:p w14:paraId="76CF14E0"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_BBCA--C</w:t>
            </w:r>
          </w:p>
        </w:tc>
        <w:tc>
          <w:tcPr>
            <w:tcW w:w="810" w:type="dxa"/>
            <w:gridSpan w:val="2"/>
            <w:tcBorders>
              <w:top w:val="nil"/>
              <w:left w:val="nil"/>
              <w:bottom w:val="nil"/>
              <w:right w:val="nil"/>
            </w:tcBorders>
            <w:vAlign w:val="bottom"/>
          </w:tcPr>
          <w:p w14:paraId="0160CD6A"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0.015712</w:t>
            </w:r>
          </w:p>
        </w:tc>
        <w:tc>
          <w:tcPr>
            <w:tcW w:w="720" w:type="dxa"/>
            <w:gridSpan w:val="2"/>
            <w:tcBorders>
              <w:top w:val="nil"/>
              <w:left w:val="nil"/>
              <w:bottom w:val="nil"/>
              <w:right w:val="nil"/>
            </w:tcBorders>
            <w:vAlign w:val="bottom"/>
          </w:tcPr>
          <w:p w14:paraId="79B50EA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32012BB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71F7C0B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430B9FDE" w14:textId="77777777" w:rsidTr="0096540E">
        <w:trPr>
          <w:gridAfter w:val="1"/>
          <w:wAfter w:w="84" w:type="dxa"/>
          <w:trHeight w:val="225"/>
        </w:trPr>
        <w:tc>
          <w:tcPr>
            <w:tcW w:w="3031" w:type="dxa"/>
            <w:tcBorders>
              <w:top w:val="nil"/>
              <w:left w:val="nil"/>
              <w:bottom w:val="nil"/>
              <w:right w:val="nil"/>
            </w:tcBorders>
            <w:vAlign w:val="bottom"/>
          </w:tcPr>
          <w:p w14:paraId="0F854445"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_BMRI--C</w:t>
            </w:r>
          </w:p>
        </w:tc>
        <w:tc>
          <w:tcPr>
            <w:tcW w:w="810" w:type="dxa"/>
            <w:gridSpan w:val="2"/>
            <w:tcBorders>
              <w:top w:val="nil"/>
              <w:left w:val="nil"/>
              <w:bottom w:val="nil"/>
              <w:right w:val="nil"/>
            </w:tcBorders>
            <w:vAlign w:val="bottom"/>
          </w:tcPr>
          <w:p w14:paraId="0698D7A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0.010794</w:t>
            </w:r>
          </w:p>
        </w:tc>
        <w:tc>
          <w:tcPr>
            <w:tcW w:w="720" w:type="dxa"/>
            <w:gridSpan w:val="2"/>
            <w:tcBorders>
              <w:top w:val="nil"/>
              <w:left w:val="nil"/>
              <w:bottom w:val="nil"/>
              <w:right w:val="nil"/>
            </w:tcBorders>
            <w:vAlign w:val="bottom"/>
          </w:tcPr>
          <w:p w14:paraId="3095A0D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7748586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2D73803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54F59C36" w14:textId="77777777" w:rsidTr="0096540E">
        <w:trPr>
          <w:gridAfter w:val="1"/>
          <w:wAfter w:w="84" w:type="dxa"/>
          <w:trHeight w:val="225"/>
        </w:trPr>
        <w:tc>
          <w:tcPr>
            <w:tcW w:w="3031" w:type="dxa"/>
            <w:tcBorders>
              <w:top w:val="nil"/>
              <w:left w:val="nil"/>
              <w:bottom w:val="nil"/>
              <w:right w:val="nil"/>
            </w:tcBorders>
            <w:vAlign w:val="bottom"/>
          </w:tcPr>
          <w:p w14:paraId="3000DD38"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_BBRI--C</w:t>
            </w:r>
          </w:p>
        </w:tc>
        <w:tc>
          <w:tcPr>
            <w:tcW w:w="810" w:type="dxa"/>
            <w:gridSpan w:val="2"/>
            <w:tcBorders>
              <w:top w:val="nil"/>
              <w:left w:val="nil"/>
              <w:bottom w:val="nil"/>
              <w:right w:val="nil"/>
            </w:tcBorders>
            <w:vAlign w:val="bottom"/>
          </w:tcPr>
          <w:p w14:paraId="2C337175"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0.020606</w:t>
            </w:r>
          </w:p>
        </w:tc>
        <w:tc>
          <w:tcPr>
            <w:tcW w:w="720" w:type="dxa"/>
            <w:gridSpan w:val="2"/>
            <w:tcBorders>
              <w:top w:val="nil"/>
              <w:left w:val="nil"/>
              <w:bottom w:val="nil"/>
              <w:right w:val="nil"/>
            </w:tcBorders>
            <w:vAlign w:val="bottom"/>
          </w:tcPr>
          <w:p w14:paraId="4C944D4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70646F7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5815BCB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4393A09B" w14:textId="77777777" w:rsidTr="0096540E">
        <w:trPr>
          <w:gridAfter w:val="1"/>
          <w:wAfter w:w="84" w:type="dxa"/>
          <w:trHeight w:val="225"/>
        </w:trPr>
        <w:tc>
          <w:tcPr>
            <w:tcW w:w="3031" w:type="dxa"/>
            <w:tcBorders>
              <w:top w:val="nil"/>
              <w:left w:val="nil"/>
              <w:bottom w:val="nil"/>
              <w:right w:val="nil"/>
            </w:tcBorders>
            <w:vAlign w:val="bottom"/>
          </w:tcPr>
          <w:p w14:paraId="6D769463"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_BBNI--C</w:t>
            </w:r>
          </w:p>
        </w:tc>
        <w:tc>
          <w:tcPr>
            <w:tcW w:w="810" w:type="dxa"/>
            <w:gridSpan w:val="2"/>
            <w:tcBorders>
              <w:top w:val="nil"/>
              <w:left w:val="nil"/>
              <w:bottom w:val="nil"/>
              <w:right w:val="nil"/>
            </w:tcBorders>
            <w:vAlign w:val="bottom"/>
          </w:tcPr>
          <w:p w14:paraId="792792D2"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0.007426</w:t>
            </w:r>
          </w:p>
        </w:tc>
        <w:tc>
          <w:tcPr>
            <w:tcW w:w="720" w:type="dxa"/>
            <w:gridSpan w:val="2"/>
            <w:tcBorders>
              <w:top w:val="nil"/>
              <w:left w:val="nil"/>
              <w:bottom w:val="nil"/>
              <w:right w:val="nil"/>
            </w:tcBorders>
            <w:vAlign w:val="bottom"/>
          </w:tcPr>
          <w:p w14:paraId="7E38820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58E1AE4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64E86C6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7160A411" w14:textId="77777777" w:rsidTr="0096540E">
        <w:trPr>
          <w:gridAfter w:val="1"/>
          <w:wAfter w:w="84" w:type="dxa"/>
          <w:trHeight w:val="225"/>
        </w:trPr>
        <w:tc>
          <w:tcPr>
            <w:tcW w:w="3031" w:type="dxa"/>
            <w:tcBorders>
              <w:top w:val="nil"/>
              <w:left w:val="nil"/>
              <w:bottom w:val="nil"/>
              <w:right w:val="nil"/>
            </w:tcBorders>
            <w:vAlign w:val="bottom"/>
          </w:tcPr>
          <w:p w14:paraId="11853773"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_BDMN--C</w:t>
            </w:r>
          </w:p>
        </w:tc>
        <w:tc>
          <w:tcPr>
            <w:tcW w:w="810" w:type="dxa"/>
            <w:gridSpan w:val="2"/>
            <w:tcBorders>
              <w:top w:val="nil"/>
              <w:left w:val="nil"/>
              <w:bottom w:val="nil"/>
              <w:right w:val="nil"/>
            </w:tcBorders>
            <w:vAlign w:val="bottom"/>
          </w:tcPr>
          <w:p w14:paraId="3EACE1C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0.006426</w:t>
            </w:r>
          </w:p>
        </w:tc>
        <w:tc>
          <w:tcPr>
            <w:tcW w:w="720" w:type="dxa"/>
            <w:gridSpan w:val="2"/>
            <w:tcBorders>
              <w:top w:val="nil"/>
              <w:left w:val="nil"/>
              <w:bottom w:val="nil"/>
              <w:right w:val="nil"/>
            </w:tcBorders>
            <w:vAlign w:val="bottom"/>
          </w:tcPr>
          <w:p w14:paraId="095EBFE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12F4B94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51742FF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7A79A02B" w14:textId="77777777" w:rsidTr="0096540E">
        <w:trPr>
          <w:gridAfter w:val="1"/>
          <w:wAfter w:w="84" w:type="dxa"/>
          <w:trHeight w:val="225"/>
        </w:trPr>
        <w:tc>
          <w:tcPr>
            <w:tcW w:w="3031" w:type="dxa"/>
            <w:tcBorders>
              <w:top w:val="nil"/>
              <w:left w:val="nil"/>
              <w:bottom w:val="nil"/>
              <w:right w:val="nil"/>
            </w:tcBorders>
            <w:vAlign w:val="bottom"/>
          </w:tcPr>
          <w:p w14:paraId="238306C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_BTPN--C</w:t>
            </w:r>
          </w:p>
        </w:tc>
        <w:tc>
          <w:tcPr>
            <w:tcW w:w="810" w:type="dxa"/>
            <w:gridSpan w:val="2"/>
            <w:tcBorders>
              <w:top w:val="nil"/>
              <w:left w:val="nil"/>
              <w:bottom w:val="nil"/>
              <w:right w:val="nil"/>
            </w:tcBorders>
            <w:vAlign w:val="bottom"/>
          </w:tcPr>
          <w:p w14:paraId="74A6E73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0.013421</w:t>
            </w:r>
          </w:p>
        </w:tc>
        <w:tc>
          <w:tcPr>
            <w:tcW w:w="720" w:type="dxa"/>
            <w:gridSpan w:val="2"/>
            <w:tcBorders>
              <w:top w:val="nil"/>
              <w:left w:val="nil"/>
              <w:bottom w:val="nil"/>
              <w:right w:val="nil"/>
            </w:tcBorders>
            <w:vAlign w:val="bottom"/>
          </w:tcPr>
          <w:p w14:paraId="4200FF4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3B4EEA0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5D755CE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6B74DADE" w14:textId="77777777" w:rsidTr="0096540E">
        <w:trPr>
          <w:gridAfter w:val="1"/>
          <w:wAfter w:w="84" w:type="dxa"/>
          <w:trHeight w:val="225"/>
        </w:trPr>
        <w:tc>
          <w:tcPr>
            <w:tcW w:w="3031" w:type="dxa"/>
            <w:tcBorders>
              <w:top w:val="nil"/>
              <w:left w:val="nil"/>
              <w:bottom w:val="nil"/>
              <w:right w:val="nil"/>
            </w:tcBorders>
            <w:vAlign w:val="bottom"/>
          </w:tcPr>
          <w:p w14:paraId="27028FCD"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_BNGA--C</w:t>
            </w:r>
          </w:p>
        </w:tc>
        <w:tc>
          <w:tcPr>
            <w:tcW w:w="810" w:type="dxa"/>
            <w:gridSpan w:val="2"/>
            <w:tcBorders>
              <w:top w:val="nil"/>
              <w:left w:val="nil"/>
              <w:bottom w:val="nil"/>
              <w:right w:val="nil"/>
            </w:tcBorders>
            <w:vAlign w:val="bottom"/>
          </w:tcPr>
          <w:p w14:paraId="285380D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0.006568</w:t>
            </w:r>
          </w:p>
        </w:tc>
        <w:tc>
          <w:tcPr>
            <w:tcW w:w="720" w:type="dxa"/>
            <w:gridSpan w:val="2"/>
            <w:tcBorders>
              <w:top w:val="nil"/>
              <w:left w:val="nil"/>
              <w:bottom w:val="nil"/>
              <w:right w:val="nil"/>
            </w:tcBorders>
            <w:vAlign w:val="bottom"/>
          </w:tcPr>
          <w:p w14:paraId="2681A77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5703773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B0289F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66750B4B" w14:textId="77777777" w:rsidTr="0096540E">
        <w:trPr>
          <w:gridAfter w:val="1"/>
          <w:wAfter w:w="84" w:type="dxa"/>
          <w:trHeight w:val="225"/>
        </w:trPr>
        <w:tc>
          <w:tcPr>
            <w:tcW w:w="3031" w:type="dxa"/>
            <w:tcBorders>
              <w:top w:val="nil"/>
              <w:left w:val="nil"/>
              <w:bottom w:val="nil"/>
              <w:right w:val="nil"/>
            </w:tcBorders>
            <w:vAlign w:val="bottom"/>
          </w:tcPr>
          <w:p w14:paraId="7CFD71AD" w14:textId="77777777" w:rsidR="005045F1" w:rsidRPr="008057DA" w:rsidRDefault="005045F1" w:rsidP="0096540E">
            <w:pPr>
              <w:autoSpaceDE w:val="0"/>
              <w:autoSpaceDN w:val="0"/>
              <w:adjustRightInd w:val="0"/>
              <w:jc w:val="center"/>
              <w:rPr>
                <w:rFonts w:eastAsia="Times New Roman"/>
                <w:b/>
                <w:color w:val="000000"/>
                <w:sz w:val="16"/>
                <w:szCs w:val="16"/>
              </w:rPr>
            </w:pPr>
            <w:r w:rsidRPr="008057DA">
              <w:rPr>
                <w:rFonts w:eastAsia="Times New Roman"/>
                <w:b/>
                <w:color w:val="000000"/>
                <w:sz w:val="16"/>
                <w:szCs w:val="16"/>
              </w:rPr>
              <w:t>_BNII--C</w:t>
            </w:r>
          </w:p>
        </w:tc>
        <w:tc>
          <w:tcPr>
            <w:tcW w:w="810" w:type="dxa"/>
            <w:gridSpan w:val="2"/>
            <w:tcBorders>
              <w:top w:val="nil"/>
              <w:left w:val="nil"/>
              <w:bottom w:val="nil"/>
              <w:right w:val="nil"/>
            </w:tcBorders>
            <w:vAlign w:val="bottom"/>
          </w:tcPr>
          <w:p w14:paraId="21FF03F1" w14:textId="77777777" w:rsidR="005045F1" w:rsidRPr="008057DA" w:rsidRDefault="005045F1" w:rsidP="0096540E">
            <w:pPr>
              <w:autoSpaceDE w:val="0"/>
              <w:autoSpaceDN w:val="0"/>
              <w:adjustRightInd w:val="0"/>
              <w:ind w:right="10"/>
              <w:jc w:val="right"/>
              <w:rPr>
                <w:rFonts w:eastAsia="Times New Roman"/>
                <w:b/>
                <w:color w:val="000000"/>
                <w:sz w:val="16"/>
                <w:szCs w:val="16"/>
              </w:rPr>
            </w:pPr>
            <w:r w:rsidRPr="008057DA">
              <w:rPr>
                <w:rFonts w:eastAsia="Times New Roman"/>
                <w:b/>
                <w:color w:val="000000"/>
                <w:sz w:val="16"/>
                <w:szCs w:val="16"/>
              </w:rPr>
              <w:t>0.037651</w:t>
            </w:r>
          </w:p>
        </w:tc>
        <w:tc>
          <w:tcPr>
            <w:tcW w:w="720" w:type="dxa"/>
            <w:gridSpan w:val="2"/>
            <w:tcBorders>
              <w:top w:val="nil"/>
              <w:left w:val="nil"/>
              <w:bottom w:val="nil"/>
              <w:right w:val="nil"/>
            </w:tcBorders>
            <w:vAlign w:val="bottom"/>
          </w:tcPr>
          <w:p w14:paraId="4F47056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72A6F38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09D90A83"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6DB4A29B" w14:textId="77777777" w:rsidTr="0096540E">
        <w:trPr>
          <w:gridAfter w:val="1"/>
          <w:wAfter w:w="84" w:type="dxa"/>
          <w:trHeight w:val="225"/>
        </w:trPr>
        <w:tc>
          <w:tcPr>
            <w:tcW w:w="3031" w:type="dxa"/>
            <w:tcBorders>
              <w:top w:val="nil"/>
              <w:left w:val="nil"/>
              <w:bottom w:val="nil"/>
              <w:right w:val="nil"/>
            </w:tcBorders>
            <w:vAlign w:val="bottom"/>
          </w:tcPr>
          <w:p w14:paraId="333F35EE"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_PNBN--C</w:t>
            </w:r>
          </w:p>
        </w:tc>
        <w:tc>
          <w:tcPr>
            <w:tcW w:w="810" w:type="dxa"/>
            <w:gridSpan w:val="2"/>
            <w:tcBorders>
              <w:top w:val="nil"/>
              <w:left w:val="nil"/>
              <w:bottom w:val="nil"/>
              <w:right w:val="nil"/>
            </w:tcBorders>
            <w:vAlign w:val="bottom"/>
          </w:tcPr>
          <w:p w14:paraId="1B04C4B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3.24E-05</w:t>
            </w:r>
          </w:p>
        </w:tc>
        <w:tc>
          <w:tcPr>
            <w:tcW w:w="720" w:type="dxa"/>
            <w:gridSpan w:val="2"/>
            <w:tcBorders>
              <w:top w:val="nil"/>
              <w:left w:val="nil"/>
              <w:bottom w:val="nil"/>
              <w:right w:val="nil"/>
            </w:tcBorders>
            <w:vAlign w:val="bottom"/>
          </w:tcPr>
          <w:p w14:paraId="20FAEDA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557D003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77DBC7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7D3F351B" w14:textId="77777777" w:rsidTr="0096540E">
        <w:trPr>
          <w:gridAfter w:val="1"/>
          <w:wAfter w:w="84" w:type="dxa"/>
          <w:trHeight w:val="225"/>
        </w:trPr>
        <w:tc>
          <w:tcPr>
            <w:tcW w:w="3031" w:type="dxa"/>
            <w:tcBorders>
              <w:top w:val="nil"/>
              <w:left w:val="nil"/>
              <w:bottom w:val="nil"/>
              <w:right w:val="nil"/>
            </w:tcBorders>
            <w:vAlign w:val="bottom"/>
          </w:tcPr>
          <w:p w14:paraId="45CF120A"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_MEGA--C</w:t>
            </w:r>
          </w:p>
        </w:tc>
        <w:tc>
          <w:tcPr>
            <w:tcW w:w="810" w:type="dxa"/>
            <w:gridSpan w:val="2"/>
            <w:tcBorders>
              <w:top w:val="nil"/>
              <w:left w:val="nil"/>
              <w:bottom w:val="nil"/>
              <w:right w:val="nil"/>
            </w:tcBorders>
            <w:vAlign w:val="bottom"/>
          </w:tcPr>
          <w:p w14:paraId="33F3DBA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-0.001200</w:t>
            </w:r>
          </w:p>
        </w:tc>
        <w:tc>
          <w:tcPr>
            <w:tcW w:w="720" w:type="dxa"/>
            <w:gridSpan w:val="2"/>
            <w:tcBorders>
              <w:top w:val="nil"/>
              <w:left w:val="nil"/>
              <w:bottom w:val="nil"/>
              <w:right w:val="nil"/>
            </w:tcBorders>
            <w:vAlign w:val="bottom"/>
          </w:tcPr>
          <w:p w14:paraId="2D3F781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76EE773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5619FE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60DBF4D9" w14:textId="77777777" w:rsidTr="0096540E">
        <w:trPr>
          <w:gridAfter w:val="1"/>
          <w:wAfter w:w="84" w:type="dxa"/>
          <w:trHeight w:val="225"/>
        </w:trPr>
        <w:tc>
          <w:tcPr>
            <w:tcW w:w="3031" w:type="dxa"/>
            <w:tcBorders>
              <w:top w:val="nil"/>
              <w:left w:val="nil"/>
              <w:bottom w:val="nil"/>
              <w:right w:val="nil"/>
            </w:tcBorders>
            <w:vAlign w:val="bottom"/>
          </w:tcPr>
          <w:p w14:paraId="7CE539C0"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_NISP--C</w:t>
            </w:r>
          </w:p>
        </w:tc>
        <w:tc>
          <w:tcPr>
            <w:tcW w:w="810" w:type="dxa"/>
            <w:gridSpan w:val="2"/>
            <w:tcBorders>
              <w:top w:val="nil"/>
              <w:left w:val="nil"/>
              <w:bottom w:val="nil"/>
              <w:right w:val="nil"/>
            </w:tcBorders>
            <w:vAlign w:val="bottom"/>
          </w:tcPr>
          <w:p w14:paraId="00E57F27"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-0.004121</w:t>
            </w:r>
          </w:p>
        </w:tc>
        <w:tc>
          <w:tcPr>
            <w:tcW w:w="720" w:type="dxa"/>
            <w:gridSpan w:val="2"/>
            <w:tcBorders>
              <w:top w:val="nil"/>
              <w:left w:val="nil"/>
              <w:bottom w:val="nil"/>
              <w:right w:val="nil"/>
            </w:tcBorders>
            <w:vAlign w:val="bottom"/>
          </w:tcPr>
          <w:p w14:paraId="7F4BAD2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153E443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10CB432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59DD9FE4" w14:textId="77777777" w:rsidTr="0096540E">
        <w:trPr>
          <w:gridAfter w:val="1"/>
          <w:wAfter w:w="84" w:type="dxa"/>
          <w:trHeight w:val="225"/>
        </w:trPr>
        <w:tc>
          <w:tcPr>
            <w:tcW w:w="3031" w:type="dxa"/>
            <w:tcBorders>
              <w:top w:val="nil"/>
              <w:left w:val="nil"/>
              <w:bottom w:val="nil"/>
              <w:right w:val="nil"/>
            </w:tcBorders>
            <w:vAlign w:val="bottom"/>
          </w:tcPr>
          <w:p w14:paraId="714D262F"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_BNLI--C</w:t>
            </w:r>
          </w:p>
        </w:tc>
        <w:tc>
          <w:tcPr>
            <w:tcW w:w="810" w:type="dxa"/>
            <w:gridSpan w:val="2"/>
            <w:tcBorders>
              <w:top w:val="nil"/>
              <w:left w:val="nil"/>
              <w:bottom w:val="nil"/>
              <w:right w:val="nil"/>
            </w:tcBorders>
            <w:vAlign w:val="bottom"/>
          </w:tcPr>
          <w:p w14:paraId="37BED4D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-0.005187</w:t>
            </w:r>
          </w:p>
        </w:tc>
        <w:tc>
          <w:tcPr>
            <w:tcW w:w="720" w:type="dxa"/>
            <w:gridSpan w:val="2"/>
            <w:tcBorders>
              <w:top w:val="nil"/>
              <w:left w:val="nil"/>
              <w:bottom w:val="nil"/>
              <w:right w:val="nil"/>
            </w:tcBorders>
            <w:vAlign w:val="bottom"/>
          </w:tcPr>
          <w:p w14:paraId="2EF8B21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15D52913"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2D95760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1C7B4A99" w14:textId="77777777" w:rsidTr="0096540E">
        <w:trPr>
          <w:gridAfter w:val="1"/>
          <w:wAfter w:w="84" w:type="dxa"/>
          <w:trHeight w:val="225"/>
        </w:trPr>
        <w:tc>
          <w:tcPr>
            <w:tcW w:w="3031" w:type="dxa"/>
            <w:tcBorders>
              <w:top w:val="nil"/>
              <w:left w:val="nil"/>
              <w:bottom w:val="nil"/>
              <w:right w:val="nil"/>
            </w:tcBorders>
            <w:vAlign w:val="bottom"/>
          </w:tcPr>
          <w:p w14:paraId="264BD442"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_MAYA--C</w:t>
            </w:r>
          </w:p>
        </w:tc>
        <w:tc>
          <w:tcPr>
            <w:tcW w:w="810" w:type="dxa"/>
            <w:gridSpan w:val="2"/>
            <w:tcBorders>
              <w:top w:val="nil"/>
              <w:left w:val="nil"/>
              <w:bottom w:val="nil"/>
              <w:right w:val="nil"/>
            </w:tcBorders>
            <w:vAlign w:val="bottom"/>
          </w:tcPr>
          <w:p w14:paraId="461AA71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-0.001161</w:t>
            </w:r>
          </w:p>
        </w:tc>
        <w:tc>
          <w:tcPr>
            <w:tcW w:w="720" w:type="dxa"/>
            <w:gridSpan w:val="2"/>
            <w:tcBorders>
              <w:top w:val="nil"/>
              <w:left w:val="nil"/>
              <w:bottom w:val="nil"/>
              <w:right w:val="nil"/>
            </w:tcBorders>
            <w:vAlign w:val="bottom"/>
          </w:tcPr>
          <w:p w14:paraId="07880EC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09AB5C02"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0DF5744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54130D5E" w14:textId="77777777" w:rsidTr="0096540E">
        <w:trPr>
          <w:gridAfter w:val="1"/>
          <w:wAfter w:w="84" w:type="dxa"/>
          <w:trHeight w:val="225"/>
        </w:trPr>
        <w:tc>
          <w:tcPr>
            <w:tcW w:w="3031" w:type="dxa"/>
            <w:tcBorders>
              <w:top w:val="nil"/>
              <w:left w:val="nil"/>
              <w:bottom w:val="nil"/>
              <w:right w:val="nil"/>
            </w:tcBorders>
            <w:vAlign w:val="bottom"/>
          </w:tcPr>
          <w:p w14:paraId="40E991E5"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_BBTN--C</w:t>
            </w:r>
          </w:p>
        </w:tc>
        <w:tc>
          <w:tcPr>
            <w:tcW w:w="810" w:type="dxa"/>
            <w:gridSpan w:val="2"/>
            <w:tcBorders>
              <w:top w:val="nil"/>
              <w:left w:val="nil"/>
              <w:bottom w:val="nil"/>
              <w:right w:val="nil"/>
            </w:tcBorders>
            <w:vAlign w:val="bottom"/>
          </w:tcPr>
          <w:p w14:paraId="5B8ECE83"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-0.004562</w:t>
            </w:r>
          </w:p>
        </w:tc>
        <w:tc>
          <w:tcPr>
            <w:tcW w:w="720" w:type="dxa"/>
            <w:gridSpan w:val="2"/>
            <w:tcBorders>
              <w:top w:val="nil"/>
              <w:left w:val="nil"/>
              <w:bottom w:val="nil"/>
              <w:right w:val="nil"/>
            </w:tcBorders>
            <w:vAlign w:val="bottom"/>
          </w:tcPr>
          <w:p w14:paraId="10956D0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4F838B0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0479EA02"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1229023E" w14:textId="77777777" w:rsidTr="0096540E">
        <w:trPr>
          <w:gridAfter w:val="1"/>
          <w:wAfter w:w="84" w:type="dxa"/>
          <w:trHeight w:val="225"/>
        </w:trPr>
        <w:tc>
          <w:tcPr>
            <w:tcW w:w="3031" w:type="dxa"/>
            <w:tcBorders>
              <w:top w:val="nil"/>
              <w:left w:val="nil"/>
              <w:bottom w:val="nil"/>
              <w:right w:val="nil"/>
            </w:tcBorders>
            <w:vAlign w:val="bottom"/>
          </w:tcPr>
          <w:p w14:paraId="79F4A34A"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_BKSW--C</w:t>
            </w:r>
          </w:p>
        </w:tc>
        <w:tc>
          <w:tcPr>
            <w:tcW w:w="810" w:type="dxa"/>
            <w:gridSpan w:val="2"/>
            <w:tcBorders>
              <w:top w:val="nil"/>
              <w:left w:val="nil"/>
              <w:bottom w:val="nil"/>
              <w:right w:val="nil"/>
            </w:tcBorders>
            <w:vAlign w:val="bottom"/>
          </w:tcPr>
          <w:p w14:paraId="39294D6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-0.017896</w:t>
            </w:r>
          </w:p>
        </w:tc>
        <w:tc>
          <w:tcPr>
            <w:tcW w:w="720" w:type="dxa"/>
            <w:gridSpan w:val="2"/>
            <w:tcBorders>
              <w:top w:val="nil"/>
              <w:left w:val="nil"/>
              <w:bottom w:val="nil"/>
              <w:right w:val="nil"/>
            </w:tcBorders>
            <w:vAlign w:val="bottom"/>
          </w:tcPr>
          <w:p w14:paraId="008B94F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05DF20E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5BFCF3F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4D8C8C5D" w14:textId="77777777" w:rsidTr="0096540E">
        <w:trPr>
          <w:gridAfter w:val="1"/>
          <w:wAfter w:w="84" w:type="dxa"/>
          <w:trHeight w:val="225"/>
        </w:trPr>
        <w:tc>
          <w:tcPr>
            <w:tcW w:w="3031" w:type="dxa"/>
            <w:tcBorders>
              <w:top w:val="nil"/>
              <w:left w:val="nil"/>
              <w:bottom w:val="nil"/>
              <w:right w:val="nil"/>
            </w:tcBorders>
            <w:vAlign w:val="bottom"/>
          </w:tcPr>
          <w:p w14:paraId="4A47CA22"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_BBKP--C</w:t>
            </w:r>
          </w:p>
        </w:tc>
        <w:tc>
          <w:tcPr>
            <w:tcW w:w="810" w:type="dxa"/>
            <w:gridSpan w:val="2"/>
            <w:tcBorders>
              <w:top w:val="nil"/>
              <w:left w:val="nil"/>
              <w:bottom w:val="nil"/>
              <w:right w:val="nil"/>
            </w:tcBorders>
            <w:vAlign w:val="bottom"/>
          </w:tcPr>
          <w:p w14:paraId="3F224A6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-0.005014</w:t>
            </w:r>
          </w:p>
        </w:tc>
        <w:tc>
          <w:tcPr>
            <w:tcW w:w="720" w:type="dxa"/>
            <w:gridSpan w:val="2"/>
            <w:tcBorders>
              <w:top w:val="nil"/>
              <w:left w:val="nil"/>
              <w:bottom w:val="nil"/>
              <w:right w:val="nil"/>
            </w:tcBorders>
            <w:vAlign w:val="bottom"/>
          </w:tcPr>
          <w:p w14:paraId="218C1E6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1777A4A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63F51DF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4C73CA21" w14:textId="77777777" w:rsidTr="0096540E">
        <w:trPr>
          <w:gridAfter w:val="1"/>
          <w:wAfter w:w="84" w:type="dxa"/>
          <w:trHeight w:val="225"/>
        </w:trPr>
        <w:tc>
          <w:tcPr>
            <w:tcW w:w="3031" w:type="dxa"/>
            <w:tcBorders>
              <w:top w:val="nil"/>
              <w:left w:val="nil"/>
              <w:bottom w:val="nil"/>
              <w:right w:val="nil"/>
            </w:tcBorders>
            <w:vAlign w:val="bottom"/>
          </w:tcPr>
          <w:p w14:paraId="23F1A5A0"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_BEKS--C</w:t>
            </w:r>
          </w:p>
        </w:tc>
        <w:tc>
          <w:tcPr>
            <w:tcW w:w="810" w:type="dxa"/>
            <w:gridSpan w:val="2"/>
            <w:tcBorders>
              <w:top w:val="nil"/>
              <w:left w:val="nil"/>
              <w:bottom w:val="nil"/>
              <w:right w:val="nil"/>
            </w:tcBorders>
            <w:vAlign w:val="bottom"/>
          </w:tcPr>
          <w:p w14:paraId="086BBCCD"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-0.021403</w:t>
            </w:r>
          </w:p>
        </w:tc>
        <w:tc>
          <w:tcPr>
            <w:tcW w:w="720" w:type="dxa"/>
            <w:gridSpan w:val="2"/>
            <w:tcBorders>
              <w:top w:val="nil"/>
              <w:left w:val="nil"/>
              <w:bottom w:val="nil"/>
              <w:right w:val="nil"/>
            </w:tcBorders>
            <w:vAlign w:val="bottom"/>
          </w:tcPr>
          <w:p w14:paraId="2836B78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562A77B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63FE653"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6F98A379" w14:textId="77777777" w:rsidTr="0096540E">
        <w:trPr>
          <w:gridAfter w:val="1"/>
          <w:wAfter w:w="84" w:type="dxa"/>
          <w:trHeight w:val="225"/>
        </w:trPr>
        <w:tc>
          <w:tcPr>
            <w:tcW w:w="3031" w:type="dxa"/>
            <w:tcBorders>
              <w:top w:val="nil"/>
              <w:left w:val="nil"/>
              <w:bottom w:val="nil"/>
              <w:right w:val="nil"/>
            </w:tcBorders>
            <w:vAlign w:val="bottom"/>
          </w:tcPr>
          <w:p w14:paraId="111E34E0" w14:textId="77777777" w:rsidR="005045F1" w:rsidRPr="008057DA" w:rsidRDefault="005045F1" w:rsidP="0096540E">
            <w:pPr>
              <w:autoSpaceDE w:val="0"/>
              <w:autoSpaceDN w:val="0"/>
              <w:adjustRightInd w:val="0"/>
              <w:jc w:val="center"/>
              <w:rPr>
                <w:rFonts w:eastAsia="Times New Roman"/>
                <w:b/>
                <w:color w:val="0D0D0D"/>
                <w:sz w:val="16"/>
                <w:szCs w:val="16"/>
              </w:rPr>
            </w:pPr>
            <w:r w:rsidRPr="008057DA">
              <w:rPr>
                <w:rFonts w:eastAsia="Times New Roman"/>
                <w:b/>
                <w:color w:val="0D0D0D"/>
                <w:sz w:val="16"/>
                <w:szCs w:val="16"/>
              </w:rPr>
              <w:t>_BABP--C</w:t>
            </w:r>
          </w:p>
        </w:tc>
        <w:tc>
          <w:tcPr>
            <w:tcW w:w="810" w:type="dxa"/>
            <w:gridSpan w:val="2"/>
            <w:tcBorders>
              <w:top w:val="nil"/>
              <w:left w:val="nil"/>
              <w:bottom w:val="nil"/>
              <w:right w:val="nil"/>
            </w:tcBorders>
            <w:vAlign w:val="bottom"/>
          </w:tcPr>
          <w:p w14:paraId="4EDF2388" w14:textId="77777777" w:rsidR="005045F1" w:rsidRPr="008057DA" w:rsidRDefault="005045F1" w:rsidP="0096540E">
            <w:pPr>
              <w:autoSpaceDE w:val="0"/>
              <w:autoSpaceDN w:val="0"/>
              <w:adjustRightInd w:val="0"/>
              <w:ind w:right="10"/>
              <w:jc w:val="right"/>
              <w:rPr>
                <w:rFonts w:eastAsia="Times New Roman"/>
                <w:b/>
                <w:color w:val="0D0D0D"/>
                <w:sz w:val="16"/>
                <w:szCs w:val="16"/>
              </w:rPr>
            </w:pPr>
            <w:r w:rsidRPr="008057DA">
              <w:rPr>
                <w:rFonts w:eastAsia="Times New Roman"/>
                <w:b/>
                <w:color w:val="0D0D0D"/>
                <w:sz w:val="16"/>
                <w:szCs w:val="16"/>
              </w:rPr>
              <w:t>-0.024417</w:t>
            </w:r>
          </w:p>
        </w:tc>
        <w:tc>
          <w:tcPr>
            <w:tcW w:w="720" w:type="dxa"/>
            <w:gridSpan w:val="2"/>
            <w:tcBorders>
              <w:top w:val="nil"/>
              <w:left w:val="nil"/>
              <w:bottom w:val="nil"/>
              <w:right w:val="nil"/>
            </w:tcBorders>
            <w:vAlign w:val="bottom"/>
          </w:tcPr>
          <w:p w14:paraId="6162EE0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2B5333C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1F7197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2551F5F8" w14:textId="77777777" w:rsidTr="0096540E">
        <w:trPr>
          <w:gridAfter w:val="1"/>
          <w:wAfter w:w="84" w:type="dxa"/>
          <w:trHeight w:val="225"/>
        </w:trPr>
        <w:tc>
          <w:tcPr>
            <w:tcW w:w="3031" w:type="dxa"/>
            <w:tcBorders>
              <w:top w:val="nil"/>
              <w:left w:val="nil"/>
              <w:bottom w:val="nil"/>
              <w:right w:val="nil"/>
            </w:tcBorders>
            <w:vAlign w:val="bottom"/>
          </w:tcPr>
          <w:p w14:paraId="4DC45078"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_SDRA--C</w:t>
            </w:r>
          </w:p>
        </w:tc>
        <w:tc>
          <w:tcPr>
            <w:tcW w:w="810" w:type="dxa"/>
            <w:gridSpan w:val="2"/>
            <w:tcBorders>
              <w:top w:val="nil"/>
              <w:left w:val="nil"/>
              <w:bottom w:val="nil"/>
              <w:right w:val="nil"/>
            </w:tcBorders>
            <w:vAlign w:val="bottom"/>
          </w:tcPr>
          <w:p w14:paraId="7F4FDAA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-0.001860</w:t>
            </w:r>
          </w:p>
        </w:tc>
        <w:tc>
          <w:tcPr>
            <w:tcW w:w="720" w:type="dxa"/>
            <w:gridSpan w:val="2"/>
            <w:tcBorders>
              <w:top w:val="nil"/>
              <w:left w:val="nil"/>
              <w:bottom w:val="nil"/>
              <w:right w:val="nil"/>
            </w:tcBorders>
            <w:vAlign w:val="bottom"/>
          </w:tcPr>
          <w:p w14:paraId="3583B79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192813E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191115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7E7D50DA" w14:textId="77777777" w:rsidTr="0096540E">
        <w:trPr>
          <w:gridAfter w:val="1"/>
          <w:wAfter w:w="84" w:type="dxa"/>
          <w:trHeight w:val="225"/>
        </w:trPr>
        <w:tc>
          <w:tcPr>
            <w:tcW w:w="3031" w:type="dxa"/>
            <w:tcBorders>
              <w:top w:val="nil"/>
              <w:left w:val="nil"/>
              <w:bottom w:val="nil"/>
              <w:right w:val="nil"/>
            </w:tcBorders>
            <w:vAlign w:val="bottom"/>
          </w:tcPr>
          <w:p w14:paraId="5455DEA5"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_BVIC--C</w:t>
            </w:r>
          </w:p>
        </w:tc>
        <w:tc>
          <w:tcPr>
            <w:tcW w:w="810" w:type="dxa"/>
            <w:gridSpan w:val="2"/>
            <w:tcBorders>
              <w:top w:val="nil"/>
              <w:left w:val="nil"/>
              <w:bottom w:val="nil"/>
              <w:right w:val="nil"/>
            </w:tcBorders>
            <w:vAlign w:val="bottom"/>
          </w:tcPr>
          <w:p w14:paraId="7D4B389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-0.001761</w:t>
            </w:r>
          </w:p>
        </w:tc>
        <w:tc>
          <w:tcPr>
            <w:tcW w:w="720" w:type="dxa"/>
            <w:gridSpan w:val="2"/>
            <w:tcBorders>
              <w:top w:val="nil"/>
              <w:left w:val="nil"/>
              <w:bottom w:val="nil"/>
              <w:right w:val="nil"/>
            </w:tcBorders>
            <w:vAlign w:val="bottom"/>
          </w:tcPr>
          <w:p w14:paraId="49C6816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5F5EF4C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58E2590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2C9B115E" w14:textId="77777777" w:rsidTr="0096540E">
        <w:trPr>
          <w:gridAfter w:val="1"/>
          <w:wAfter w:w="84" w:type="dxa"/>
          <w:trHeight w:val="225"/>
        </w:trPr>
        <w:tc>
          <w:tcPr>
            <w:tcW w:w="3031" w:type="dxa"/>
            <w:tcBorders>
              <w:top w:val="nil"/>
              <w:left w:val="nil"/>
              <w:bottom w:val="nil"/>
              <w:right w:val="nil"/>
            </w:tcBorders>
            <w:vAlign w:val="bottom"/>
          </w:tcPr>
          <w:p w14:paraId="2893C51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_AGRO--C</w:t>
            </w:r>
          </w:p>
        </w:tc>
        <w:tc>
          <w:tcPr>
            <w:tcW w:w="810" w:type="dxa"/>
            <w:gridSpan w:val="2"/>
            <w:tcBorders>
              <w:top w:val="nil"/>
              <w:left w:val="nil"/>
              <w:bottom w:val="nil"/>
              <w:right w:val="nil"/>
            </w:tcBorders>
            <w:vAlign w:val="bottom"/>
          </w:tcPr>
          <w:p w14:paraId="47FBD90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-0.004887</w:t>
            </w:r>
          </w:p>
        </w:tc>
        <w:tc>
          <w:tcPr>
            <w:tcW w:w="720" w:type="dxa"/>
            <w:gridSpan w:val="2"/>
            <w:tcBorders>
              <w:top w:val="nil"/>
              <w:left w:val="nil"/>
              <w:bottom w:val="nil"/>
              <w:right w:val="nil"/>
            </w:tcBorders>
            <w:vAlign w:val="bottom"/>
          </w:tcPr>
          <w:p w14:paraId="23C259D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71FDFEB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822DD93"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54995505" w14:textId="77777777" w:rsidTr="0096540E">
        <w:trPr>
          <w:gridAfter w:val="1"/>
          <w:wAfter w:w="84" w:type="dxa"/>
          <w:trHeight w:val="225"/>
        </w:trPr>
        <w:tc>
          <w:tcPr>
            <w:tcW w:w="3031" w:type="dxa"/>
            <w:tcBorders>
              <w:top w:val="nil"/>
              <w:left w:val="nil"/>
              <w:bottom w:val="nil"/>
              <w:right w:val="nil"/>
            </w:tcBorders>
            <w:vAlign w:val="bottom"/>
          </w:tcPr>
          <w:p w14:paraId="53F6092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_BSWD--C</w:t>
            </w:r>
          </w:p>
        </w:tc>
        <w:tc>
          <w:tcPr>
            <w:tcW w:w="810" w:type="dxa"/>
            <w:gridSpan w:val="2"/>
            <w:tcBorders>
              <w:top w:val="nil"/>
              <w:left w:val="nil"/>
              <w:bottom w:val="nil"/>
              <w:right w:val="nil"/>
            </w:tcBorders>
            <w:vAlign w:val="bottom"/>
          </w:tcPr>
          <w:p w14:paraId="20C929D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0.009082</w:t>
            </w:r>
          </w:p>
        </w:tc>
        <w:tc>
          <w:tcPr>
            <w:tcW w:w="720" w:type="dxa"/>
            <w:gridSpan w:val="2"/>
            <w:tcBorders>
              <w:top w:val="nil"/>
              <w:left w:val="nil"/>
              <w:bottom w:val="nil"/>
              <w:right w:val="nil"/>
            </w:tcBorders>
            <w:vAlign w:val="bottom"/>
          </w:tcPr>
          <w:p w14:paraId="60577B7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17296ED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2B8CD37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5B1A7503" w14:textId="77777777" w:rsidTr="0096540E">
        <w:trPr>
          <w:gridAfter w:val="1"/>
          <w:wAfter w:w="84" w:type="dxa"/>
          <w:trHeight w:val="225"/>
        </w:trPr>
        <w:tc>
          <w:tcPr>
            <w:tcW w:w="3031" w:type="dxa"/>
            <w:tcBorders>
              <w:top w:val="nil"/>
              <w:left w:val="nil"/>
              <w:bottom w:val="nil"/>
              <w:right w:val="nil"/>
            </w:tcBorders>
            <w:vAlign w:val="bottom"/>
          </w:tcPr>
          <w:p w14:paraId="195F8406"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_BBNP--C</w:t>
            </w:r>
          </w:p>
        </w:tc>
        <w:tc>
          <w:tcPr>
            <w:tcW w:w="810" w:type="dxa"/>
            <w:gridSpan w:val="2"/>
            <w:tcBorders>
              <w:top w:val="nil"/>
              <w:left w:val="nil"/>
              <w:bottom w:val="nil"/>
              <w:right w:val="nil"/>
            </w:tcBorders>
            <w:vAlign w:val="bottom"/>
          </w:tcPr>
          <w:p w14:paraId="0058A08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-0.006959</w:t>
            </w:r>
          </w:p>
        </w:tc>
        <w:tc>
          <w:tcPr>
            <w:tcW w:w="720" w:type="dxa"/>
            <w:gridSpan w:val="2"/>
            <w:tcBorders>
              <w:top w:val="nil"/>
              <w:left w:val="nil"/>
              <w:bottom w:val="nil"/>
              <w:right w:val="nil"/>
            </w:tcBorders>
            <w:vAlign w:val="bottom"/>
          </w:tcPr>
          <w:p w14:paraId="6313971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01990A3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672A415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6A972836" w14:textId="77777777" w:rsidTr="0096540E">
        <w:trPr>
          <w:gridAfter w:val="1"/>
          <w:wAfter w:w="84" w:type="dxa"/>
          <w:trHeight w:val="225"/>
        </w:trPr>
        <w:tc>
          <w:tcPr>
            <w:tcW w:w="3031" w:type="dxa"/>
            <w:tcBorders>
              <w:top w:val="nil"/>
              <w:left w:val="nil"/>
              <w:bottom w:val="nil"/>
              <w:right w:val="nil"/>
            </w:tcBorders>
            <w:vAlign w:val="bottom"/>
          </w:tcPr>
          <w:p w14:paraId="2107CC6F"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_BACA--C</w:t>
            </w:r>
          </w:p>
        </w:tc>
        <w:tc>
          <w:tcPr>
            <w:tcW w:w="810" w:type="dxa"/>
            <w:gridSpan w:val="2"/>
            <w:tcBorders>
              <w:top w:val="nil"/>
              <w:left w:val="nil"/>
              <w:bottom w:val="nil"/>
              <w:right w:val="nil"/>
            </w:tcBorders>
            <w:vAlign w:val="bottom"/>
          </w:tcPr>
          <w:p w14:paraId="433A77B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-0.005976</w:t>
            </w:r>
          </w:p>
        </w:tc>
        <w:tc>
          <w:tcPr>
            <w:tcW w:w="720" w:type="dxa"/>
            <w:gridSpan w:val="2"/>
            <w:tcBorders>
              <w:top w:val="nil"/>
              <w:left w:val="nil"/>
              <w:bottom w:val="nil"/>
              <w:right w:val="nil"/>
            </w:tcBorders>
            <w:vAlign w:val="bottom"/>
          </w:tcPr>
          <w:p w14:paraId="350FACE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3569ED32"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3BBD5CA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1F32067B" w14:textId="77777777" w:rsidTr="0096540E">
        <w:trPr>
          <w:gridAfter w:val="1"/>
          <w:wAfter w:w="84" w:type="dxa"/>
          <w:trHeight w:val="225"/>
        </w:trPr>
        <w:tc>
          <w:tcPr>
            <w:tcW w:w="3031" w:type="dxa"/>
            <w:tcBorders>
              <w:top w:val="nil"/>
              <w:left w:val="nil"/>
              <w:bottom w:val="nil"/>
              <w:right w:val="nil"/>
            </w:tcBorders>
            <w:vAlign w:val="bottom"/>
          </w:tcPr>
          <w:p w14:paraId="43EE8166"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_BNBA--C</w:t>
            </w:r>
          </w:p>
        </w:tc>
        <w:tc>
          <w:tcPr>
            <w:tcW w:w="810" w:type="dxa"/>
            <w:gridSpan w:val="2"/>
            <w:tcBorders>
              <w:top w:val="nil"/>
              <w:left w:val="nil"/>
              <w:bottom w:val="nil"/>
              <w:right w:val="nil"/>
            </w:tcBorders>
            <w:vAlign w:val="bottom"/>
          </w:tcPr>
          <w:p w14:paraId="2FE7017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-0.001752</w:t>
            </w:r>
          </w:p>
        </w:tc>
        <w:tc>
          <w:tcPr>
            <w:tcW w:w="720" w:type="dxa"/>
            <w:gridSpan w:val="2"/>
            <w:tcBorders>
              <w:top w:val="nil"/>
              <w:left w:val="nil"/>
              <w:bottom w:val="nil"/>
              <w:right w:val="nil"/>
            </w:tcBorders>
            <w:vAlign w:val="bottom"/>
          </w:tcPr>
          <w:p w14:paraId="4C30232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6DC13860"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289CB75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79187FD3" w14:textId="77777777" w:rsidTr="0096540E">
        <w:trPr>
          <w:gridAfter w:val="1"/>
          <w:wAfter w:w="84" w:type="dxa"/>
          <w:trHeight w:val="225"/>
        </w:trPr>
        <w:tc>
          <w:tcPr>
            <w:tcW w:w="3031" w:type="dxa"/>
            <w:tcBorders>
              <w:top w:val="nil"/>
              <w:left w:val="nil"/>
              <w:bottom w:val="nil"/>
              <w:right w:val="nil"/>
            </w:tcBorders>
            <w:vAlign w:val="bottom"/>
          </w:tcPr>
          <w:p w14:paraId="5D2F64EA"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_INPC--C</w:t>
            </w:r>
          </w:p>
        </w:tc>
        <w:tc>
          <w:tcPr>
            <w:tcW w:w="810" w:type="dxa"/>
            <w:gridSpan w:val="2"/>
            <w:tcBorders>
              <w:top w:val="nil"/>
              <w:left w:val="nil"/>
              <w:bottom w:val="nil"/>
              <w:right w:val="nil"/>
            </w:tcBorders>
            <w:vAlign w:val="bottom"/>
          </w:tcPr>
          <w:p w14:paraId="7E3F42BD"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-0.011610</w:t>
            </w:r>
          </w:p>
        </w:tc>
        <w:tc>
          <w:tcPr>
            <w:tcW w:w="720" w:type="dxa"/>
            <w:gridSpan w:val="2"/>
            <w:tcBorders>
              <w:top w:val="nil"/>
              <w:left w:val="nil"/>
              <w:bottom w:val="nil"/>
              <w:right w:val="nil"/>
            </w:tcBorders>
            <w:vAlign w:val="bottom"/>
          </w:tcPr>
          <w:p w14:paraId="5BF055C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2E179CB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5AE4081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47AE650D" w14:textId="77777777" w:rsidTr="0096540E">
        <w:trPr>
          <w:gridAfter w:val="1"/>
          <w:wAfter w:w="84" w:type="dxa"/>
          <w:trHeight w:val="225"/>
        </w:trPr>
        <w:tc>
          <w:tcPr>
            <w:tcW w:w="3031" w:type="dxa"/>
            <w:tcBorders>
              <w:top w:val="nil"/>
              <w:left w:val="nil"/>
              <w:bottom w:val="nil"/>
              <w:right w:val="nil"/>
            </w:tcBorders>
            <w:vAlign w:val="bottom"/>
          </w:tcPr>
          <w:p w14:paraId="3BECB77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_MCOR--C</w:t>
            </w:r>
          </w:p>
        </w:tc>
        <w:tc>
          <w:tcPr>
            <w:tcW w:w="810" w:type="dxa"/>
            <w:gridSpan w:val="2"/>
            <w:tcBorders>
              <w:top w:val="nil"/>
              <w:left w:val="nil"/>
              <w:bottom w:val="nil"/>
              <w:right w:val="nil"/>
            </w:tcBorders>
            <w:vAlign w:val="bottom"/>
          </w:tcPr>
          <w:p w14:paraId="0346323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-0.007952</w:t>
            </w:r>
          </w:p>
        </w:tc>
        <w:tc>
          <w:tcPr>
            <w:tcW w:w="720" w:type="dxa"/>
            <w:gridSpan w:val="2"/>
            <w:tcBorders>
              <w:top w:val="nil"/>
              <w:left w:val="nil"/>
              <w:bottom w:val="nil"/>
              <w:right w:val="nil"/>
            </w:tcBorders>
            <w:vAlign w:val="bottom"/>
          </w:tcPr>
          <w:p w14:paraId="3700F20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810" w:type="dxa"/>
            <w:gridSpan w:val="3"/>
            <w:tcBorders>
              <w:top w:val="nil"/>
              <w:left w:val="nil"/>
              <w:bottom w:val="nil"/>
              <w:right w:val="nil"/>
            </w:tcBorders>
            <w:vAlign w:val="bottom"/>
          </w:tcPr>
          <w:p w14:paraId="3A5190B2"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6628D63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8057DA" w14:paraId="12BCE14C" w14:textId="77777777" w:rsidTr="0096540E">
        <w:trPr>
          <w:gridAfter w:val="1"/>
          <w:wAfter w:w="84" w:type="dxa"/>
          <w:trHeight w:hRule="exact" w:val="90"/>
        </w:trPr>
        <w:tc>
          <w:tcPr>
            <w:tcW w:w="3031" w:type="dxa"/>
            <w:tcBorders>
              <w:top w:val="nil"/>
              <w:left w:val="nil"/>
              <w:bottom w:val="double" w:sz="6" w:space="2" w:color="auto"/>
              <w:right w:val="nil"/>
            </w:tcBorders>
            <w:vAlign w:val="bottom"/>
          </w:tcPr>
          <w:p w14:paraId="08678D9A"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double" w:sz="6" w:space="2" w:color="auto"/>
              <w:right w:val="nil"/>
            </w:tcBorders>
            <w:vAlign w:val="bottom"/>
          </w:tcPr>
          <w:p w14:paraId="07AFF350"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20" w:type="dxa"/>
            <w:gridSpan w:val="2"/>
            <w:tcBorders>
              <w:top w:val="nil"/>
              <w:left w:val="nil"/>
              <w:bottom w:val="double" w:sz="6" w:space="2" w:color="auto"/>
              <w:right w:val="nil"/>
            </w:tcBorders>
            <w:vAlign w:val="bottom"/>
          </w:tcPr>
          <w:p w14:paraId="0415F78B"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3"/>
            <w:tcBorders>
              <w:top w:val="nil"/>
              <w:left w:val="nil"/>
              <w:bottom w:val="double" w:sz="6" w:space="2" w:color="auto"/>
              <w:right w:val="nil"/>
            </w:tcBorders>
            <w:vAlign w:val="bottom"/>
          </w:tcPr>
          <w:p w14:paraId="59C63ACE"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double" w:sz="6" w:space="2" w:color="auto"/>
              <w:right w:val="nil"/>
            </w:tcBorders>
            <w:vAlign w:val="bottom"/>
          </w:tcPr>
          <w:p w14:paraId="24CACA3A"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42DE8335" w14:textId="77777777" w:rsidTr="0096540E">
        <w:trPr>
          <w:gridAfter w:val="2"/>
          <w:wAfter w:w="134" w:type="dxa"/>
          <w:trHeight w:hRule="exact" w:val="135"/>
        </w:trPr>
        <w:tc>
          <w:tcPr>
            <w:tcW w:w="3031" w:type="dxa"/>
            <w:tcBorders>
              <w:top w:val="nil"/>
              <w:left w:val="nil"/>
              <w:bottom w:val="nil"/>
              <w:right w:val="nil"/>
            </w:tcBorders>
            <w:vAlign w:val="bottom"/>
          </w:tcPr>
          <w:p w14:paraId="731BEC5C"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238" w:type="dxa"/>
            <w:tcBorders>
              <w:top w:val="nil"/>
              <w:left w:val="nil"/>
              <w:bottom w:val="nil"/>
              <w:right w:val="nil"/>
            </w:tcBorders>
            <w:vAlign w:val="bottom"/>
          </w:tcPr>
          <w:p w14:paraId="114777C4"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1942" w:type="dxa"/>
            <w:gridSpan w:val="5"/>
            <w:tcBorders>
              <w:top w:val="nil"/>
              <w:left w:val="nil"/>
              <w:bottom w:val="nil"/>
              <w:right w:val="nil"/>
            </w:tcBorders>
            <w:vAlign w:val="bottom"/>
          </w:tcPr>
          <w:p w14:paraId="7DCA54DE"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354" w:type="dxa"/>
            <w:gridSpan w:val="3"/>
            <w:tcBorders>
              <w:top w:val="nil"/>
              <w:left w:val="nil"/>
              <w:bottom w:val="nil"/>
              <w:right w:val="nil"/>
            </w:tcBorders>
            <w:vAlign w:val="bottom"/>
          </w:tcPr>
          <w:p w14:paraId="5626D177"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386" w:type="dxa"/>
            <w:tcBorders>
              <w:top w:val="nil"/>
              <w:left w:val="nil"/>
              <w:bottom w:val="nil"/>
              <w:right w:val="nil"/>
            </w:tcBorders>
            <w:vAlign w:val="bottom"/>
          </w:tcPr>
          <w:p w14:paraId="2A3EB625"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684E1BC1" w14:textId="77777777" w:rsidTr="0096540E">
        <w:trPr>
          <w:trHeight w:val="225"/>
        </w:trPr>
        <w:tc>
          <w:tcPr>
            <w:tcW w:w="3031" w:type="dxa"/>
            <w:tcBorders>
              <w:top w:val="nil"/>
              <w:left w:val="nil"/>
              <w:bottom w:val="nil"/>
              <w:right w:val="nil"/>
            </w:tcBorders>
            <w:vAlign w:val="bottom"/>
          </w:tcPr>
          <w:p w14:paraId="6D5C52F4"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2070" w:type="dxa"/>
            <w:gridSpan w:val="5"/>
            <w:tcBorders>
              <w:top w:val="nil"/>
              <w:left w:val="nil"/>
              <w:bottom w:val="nil"/>
              <w:right w:val="nil"/>
            </w:tcBorders>
            <w:vAlign w:val="bottom"/>
          </w:tcPr>
          <w:p w14:paraId="09E75E85"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Weighted Statistics</w:t>
            </w:r>
          </w:p>
        </w:tc>
        <w:tc>
          <w:tcPr>
            <w:tcW w:w="354" w:type="dxa"/>
            <w:gridSpan w:val="3"/>
            <w:tcBorders>
              <w:top w:val="nil"/>
              <w:left w:val="nil"/>
              <w:bottom w:val="nil"/>
              <w:right w:val="nil"/>
            </w:tcBorders>
            <w:vAlign w:val="bottom"/>
          </w:tcPr>
          <w:p w14:paraId="0C21BBC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nil"/>
              <w:right w:val="nil"/>
            </w:tcBorders>
            <w:vAlign w:val="bottom"/>
          </w:tcPr>
          <w:p w14:paraId="052E9D1D"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6062F362" w14:textId="77777777" w:rsidTr="0096540E">
        <w:trPr>
          <w:trHeight w:hRule="exact" w:val="90"/>
        </w:trPr>
        <w:tc>
          <w:tcPr>
            <w:tcW w:w="3031" w:type="dxa"/>
            <w:tcBorders>
              <w:top w:val="nil"/>
              <w:left w:val="nil"/>
              <w:bottom w:val="double" w:sz="6" w:space="2" w:color="auto"/>
              <w:right w:val="nil"/>
            </w:tcBorders>
            <w:vAlign w:val="bottom"/>
          </w:tcPr>
          <w:p w14:paraId="178B9A20"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42" w:type="dxa"/>
            <w:gridSpan w:val="3"/>
            <w:tcBorders>
              <w:top w:val="nil"/>
              <w:left w:val="nil"/>
              <w:bottom w:val="double" w:sz="6" w:space="2" w:color="auto"/>
              <w:right w:val="nil"/>
            </w:tcBorders>
            <w:vAlign w:val="bottom"/>
          </w:tcPr>
          <w:p w14:paraId="61A47D63"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1228" w:type="dxa"/>
            <w:gridSpan w:val="2"/>
            <w:tcBorders>
              <w:top w:val="nil"/>
              <w:left w:val="nil"/>
              <w:bottom w:val="double" w:sz="6" w:space="2" w:color="auto"/>
              <w:right w:val="nil"/>
            </w:tcBorders>
            <w:vAlign w:val="bottom"/>
          </w:tcPr>
          <w:p w14:paraId="7E6B2EE7"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354" w:type="dxa"/>
            <w:gridSpan w:val="3"/>
            <w:tcBorders>
              <w:top w:val="nil"/>
              <w:left w:val="nil"/>
              <w:bottom w:val="double" w:sz="6" w:space="2" w:color="auto"/>
              <w:right w:val="nil"/>
            </w:tcBorders>
            <w:vAlign w:val="bottom"/>
          </w:tcPr>
          <w:p w14:paraId="70F3625B"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double" w:sz="6" w:space="2" w:color="auto"/>
              <w:right w:val="nil"/>
            </w:tcBorders>
            <w:vAlign w:val="bottom"/>
          </w:tcPr>
          <w:p w14:paraId="44112270"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20EDAE89" w14:textId="77777777" w:rsidTr="0096540E">
        <w:trPr>
          <w:trHeight w:hRule="exact" w:val="135"/>
        </w:trPr>
        <w:tc>
          <w:tcPr>
            <w:tcW w:w="3031" w:type="dxa"/>
            <w:tcBorders>
              <w:top w:val="nil"/>
              <w:left w:val="nil"/>
              <w:bottom w:val="nil"/>
              <w:right w:val="nil"/>
            </w:tcBorders>
            <w:vAlign w:val="bottom"/>
          </w:tcPr>
          <w:p w14:paraId="4F1FE87E"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42" w:type="dxa"/>
            <w:gridSpan w:val="3"/>
            <w:tcBorders>
              <w:top w:val="nil"/>
              <w:left w:val="nil"/>
              <w:bottom w:val="nil"/>
              <w:right w:val="nil"/>
            </w:tcBorders>
            <w:vAlign w:val="bottom"/>
          </w:tcPr>
          <w:p w14:paraId="16270736"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1228" w:type="dxa"/>
            <w:gridSpan w:val="2"/>
            <w:tcBorders>
              <w:top w:val="nil"/>
              <w:left w:val="nil"/>
              <w:bottom w:val="nil"/>
              <w:right w:val="nil"/>
            </w:tcBorders>
            <w:vAlign w:val="bottom"/>
          </w:tcPr>
          <w:p w14:paraId="724C697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354" w:type="dxa"/>
            <w:gridSpan w:val="3"/>
            <w:tcBorders>
              <w:top w:val="nil"/>
              <w:left w:val="nil"/>
              <w:bottom w:val="nil"/>
              <w:right w:val="nil"/>
            </w:tcBorders>
            <w:vAlign w:val="bottom"/>
          </w:tcPr>
          <w:p w14:paraId="787826E4"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4"/>
            <w:tcBorders>
              <w:top w:val="nil"/>
              <w:left w:val="nil"/>
              <w:bottom w:val="nil"/>
              <w:right w:val="nil"/>
            </w:tcBorders>
            <w:vAlign w:val="bottom"/>
          </w:tcPr>
          <w:p w14:paraId="3478FF7A"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8057DA" w14:paraId="7880AA37" w14:textId="77777777" w:rsidTr="0096540E">
        <w:trPr>
          <w:trHeight w:val="225"/>
        </w:trPr>
        <w:tc>
          <w:tcPr>
            <w:tcW w:w="3031" w:type="dxa"/>
            <w:tcBorders>
              <w:top w:val="nil"/>
              <w:left w:val="nil"/>
              <w:bottom w:val="nil"/>
              <w:right w:val="nil"/>
            </w:tcBorders>
            <w:vAlign w:val="bottom"/>
          </w:tcPr>
          <w:p w14:paraId="594D6E9F"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R-squared</w:t>
            </w:r>
          </w:p>
        </w:tc>
        <w:tc>
          <w:tcPr>
            <w:tcW w:w="842" w:type="dxa"/>
            <w:gridSpan w:val="3"/>
            <w:tcBorders>
              <w:top w:val="nil"/>
              <w:left w:val="nil"/>
              <w:bottom w:val="nil"/>
              <w:right w:val="nil"/>
            </w:tcBorders>
            <w:vAlign w:val="bottom"/>
          </w:tcPr>
          <w:p w14:paraId="0A99B417"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0.252199</w:t>
            </w:r>
          </w:p>
        </w:tc>
        <w:tc>
          <w:tcPr>
            <w:tcW w:w="1582" w:type="dxa"/>
            <w:gridSpan w:val="5"/>
            <w:tcBorders>
              <w:top w:val="nil"/>
              <w:left w:val="nil"/>
              <w:bottom w:val="nil"/>
              <w:right w:val="nil"/>
            </w:tcBorders>
            <w:vAlign w:val="bottom"/>
          </w:tcPr>
          <w:p w14:paraId="459E802A"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Mean dependent var</w:t>
            </w:r>
          </w:p>
        </w:tc>
        <w:tc>
          <w:tcPr>
            <w:tcW w:w="630" w:type="dxa"/>
            <w:gridSpan w:val="4"/>
            <w:tcBorders>
              <w:top w:val="nil"/>
              <w:left w:val="nil"/>
              <w:bottom w:val="nil"/>
              <w:right w:val="nil"/>
            </w:tcBorders>
            <w:vAlign w:val="bottom"/>
          </w:tcPr>
          <w:p w14:paraId="6CA7B2B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0.007091</w:t>
            </w:r>
          </w:p>
        </w:tc>
      </w:tr>
      <w:tr w:rsidR="005045F1" w:rsidRPr="008057DA" w14:paraId="22A6CDE5" w14:textId="77777777" w:rsidTr="0096540E">
        <w:trPr>
          <w:trHeight w:val="225"/>
        </w:trPr>
        <w:tc>
          <w:tcPr>
            <w:tcW w:w="3031" w:type="dxa"/>
            <w:tcBorders>
              <w:top w:val="nil"/>
              <w:left w:val="nil"/>
              <w:bottom w:val="nil"/>
              <w:right w:val="nil"/>
            </w:tcBorders>
            <w:vAlign w:val="bottom"/>
          </w:tcPr>
          <w:p w14:paraId="7B0EEA9A"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Adjusted R-squared</w:t>
            </w:r>
          </w:p>
        </w:tc>
        <w:tc>
          <w:tcPr>
            <w:tcW w:w="842" w:type="dxa"/>
            <w:gridSpan w:val="3"/>
            <w:tcBorders>
              <w:top w:val="nil"/>
              <w:left w:val="nil"/>
              <w:bottom w:val="nil"/>
              <w:right w:val="nil"/>
            </w:tcBorders>
            <w:vAlign w:val="bottom"/>
          </w:tcPr>
          <w:p w14:paraId="064B0212"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0.223252</w:t>
            </w:r>
          </w:p>
        </w:tc>
        <w:tc>
          <w:tcPr>
            <w:tcW w:w="1582" w:type="dxa"/>
            <w:gridSpan w:val="5"/>
            <w:tcBorders>
              <w:top w:val="nil"/>
              <w:left w:val="nil"/>
              <w:bottom w:val="nil"/>
              <w:right w:val="nil"/>
            </w:tcBorders>
            <w:vAlign w:val="bottom"/>
          </w:tcPr>
          <w:p w14:paraId="069B2437"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S.D. dependent var</w:t>
            </w:r>
          </w:p>
        </w:tc>
        <w:tc>
          <w:tcPr>
            <w:tcW w:w="630" w:type="dxa"/>
            <w:gridSpan w:val="4"/>
            <w:tcBorders>
              <w:top w:val="nil"/>
              <w:left w:val="nil"/>
              <w:bottom w:val="nil"/>
              <w:right w:val="nil"/>
            </w:tcBorders>
            <w:vAlign w:val="bottom"/>
          </w:tcPr>
          <w:p w14:paraId="08C903E3"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0.016069</w:t>
            </w:r>
          </w:p>
        </w:tc>
      </w:tr>
      <w:tr w:rsidR="005045F1" w:rsidRPr="008057DA" w14:paraId="433F4752" w14:textId="77777777" w:rsidTr="0096540E">
        <w:trPr>
          <w:trHeight w:val="225"/>
        </w:trPr>
        <w:tc>
          <w:tcPr>
            <w:tcW w:w="3031" w:type="dxa"/>
            <w:tcBorders>
              <w:top w:val="nil"/>
              <w:left w:val="nil"/>
              <w:bottom w:val="nil"/>
              <w:right w:val="nil"/>
            </w:tcBorders>
            <w:vAlign w:val="bottom"/>
          </w:tcPr>
          <w:p w14:paraId="74358708"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S.E. of regression</w:t>
            </w:r>
          </w:p>
        </w:tc>
        <w:tc>
          <w:tcPr>
            <w:tcW w:w="842" w:type="dxa"/>
            <w:gridSpan w:val="3"/>
            <w:tcBorders>
              <w:top w:val="nil"/>
              <w:left w:val="nil"/>
              <w:bottom w:val="nil"/>
              <w:right w:val="nil"/>
            </w:tcBorders>
            <w:vAlign w:val="bottom"/>
          </w:tcPr>
          <w:p w14:paraId="448A2AA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0.014163</w:t>
            </w:r>
          </w:p>
        </w:tc>
        <w:tc>
          <w:tcPr>
            <w:tcW w:w="1582" w:type="dxa"/>
            <w:gridSpan w:val="5"/>
            <w:tcBorders>
              <w:top w:val="nil"/>
              <w:left w:val="nil"/>
              <w:bottom w:val="nil"/>
              <w:right w:val="nil"/>
            </w:tcBorders>
            <w:vAlign w:val="bottom"/>
          </w:tcPr>
          <w:p w14:paraId="03922B8C"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Sum squared resid</w:t>
            </w:r>
          </w:p>
        </w:tc>
        <w:tc>
          <w:tcPr>
            <w:tcW w:w="630" w:type="dxa"/>
            <w:gridSpan w:val="4"/>
            <w:tcBorders>
              <w:top w:val="nil"/>
              <w:left w:val="nil"/>
              <w:bottom w:val="nil"/>
              <w:right w:val="nil"/>
            </w:tcBorders>
            <w:vAlign w:val="bottom"/>
          </w:tcPr>
          <w:p w14:paraId="199D512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0.031090</w:t>
            </w:r>
          </w:p>
        </w:tc>
      </w:tr>
      <w:tr w:rsidR="005045F1" w:rsidRPr="008057DA" w14:paraId="241C276A" w14:textId="77777777" w:rsidTr="0096540E">
        <w:trPr>
          <w:trHeight w:val="225"/>
        </w:trPr>
        <w:tc>
          <w:tcPr>
            <w:tcW w:w="3031" w:type="dxa"/>
            <w:tcBorders>
              <w:top w:val="nil"/>
              <w:left w:val="nil"/>
              <w:bottom w:val="nil"/>
              <w:right w:val="nil"/>
            </w:tcBorders>
            <w:vAlign w:val="bottom"/>
          </w:tcPr>
          <w:p w14:paraId="6D9FDBD2"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F-statistic</w:t>
            </w:r>
          </w:p>
        </w:tc>
        <w:tc>
          <w:tcPr>
            <w:tcW w:w="842" w:type="dxa"/>
            <w:gridSpan w:val="3"/>
            <w:tcBorders>
              <w:top w:val="nil"/>
              <w:left w:val="nil"/>
              <w:bottom w:val="nil"/>
              <w:right w:val="nil"/>
            </w:tcBorders>
            <w:vAlign w:val="bottom"/>
          </w:tcPr>
          <w:p w14:paraId="28C0E89F"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8.712414</w:t>
            </w:r>
          </w:p>
        </w:tc>
        <w:tc>
          <w:tcPr>
            <w:tcW w:w="1582" w:type="dxa"/>
            <w:gridSpan w:val="5"/>
            <w:tcBorders>
              <w:top w:val="nil"/>
              <w:left w:val="nil"/>
              <w:bottom w:val="nil"/>
              <w:right w:val="nil"/>
            </w:tcBorders>
            <w:vAlign w:val="bottom"/>
          </w:tcPr>
          <w:p w14:paraId="0BA8F3CE"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Durbin-Watson stat</w:t>
            </w:r>
          </w:p>
        </w:tc>
        <w:tc>
          <w:tcPr>
            <w:tcW w:w="630" w:type="dxa"/>
            <w:gridSpan w:val="4"/>
            <w:tcBorders>
              <w:top w:val="nil"/>
              <w:left w:val="nil"/>
              <w:bottom w:val="nil"/>
              <w:right w:val="nil"/>
            </w:tcBorders>
            <w:vAlign w:val="bottom"/>
          </w:tcPr>
          <w:p w14:paraId="6B9DE9B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1.307986</w:t>
            </w:r>
          </w:p>
        </w:tc>
      </w:tr>
      <w:tr w:rsidR="005045F1" w:rsidRPr="008057DA" w14:paraId="49084BED" w14:textId="77777777" w:rsidTr="0096540E">
        <w:trPr>
          <w:trHeight w:val="225"/>
        </w:trPr>
        <w:tc>
          <w:tcPr>
            <w:tcW w:w="3031" w:type="dxa"/>
            <w:tcBorders>
              <w:top w:val="nil"/>
              <w:left w:val="nil"/>
              <w:bottom w:val="nil"/>
              <w:right w:val="nil"/>
            </w:tcBorders>
            <w:vAlign w:val="bottom"/>
          </w:tcPr>
          <w:p w14:paraId="6720D2D0"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Prob(F-statistic)</w:t>
            </w:r>
          </w:p>
        </w:tc>
        <w:tc>
          <w:tcPr>
            <w:tcW w:w="842" w:type="dxa"/>
            <w:gridSpan w:val="3"/>
            <w:tcBorders>
              <w:top w:val="nil"/>
              <w:left w:val="nil"/>
              <w:bottom w:val="nil"/>
              <w:right w:val="nil"/>
            </w:tcBorders>
            <w:vAlign w:val="bottom"/>
          </w:tcPr>
          <w:p w14:paraId="7144767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0.000000</w:t>
            </w:r>
          </w:p>
        </w:tc>
        <w:tc>
          <w:tcPr>
            <w:tcW w:w="1228" w:type="dxa"/>
            <w:gridSpan w:val="2"/>
            <w:tcBorders>
              <w:top w:val="nil"/>
              <w:left w:val="nil"/>
              <w:bottom w:val="nil"/>
              <w:right w:val="nil"/>
            </w:tcBorders>
            <w:vAlign w:val="bottom"/>
          </w:tcPr>
          <w:p w14:paraId="6A8090B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354" w:type="dxa"/>
            <w:gridSpan w:val="3"/>
            <w:tcBorders>
              <w:top w:val="nil"/>
              <w:left w:val="nil"/>
              <w:bottom w:val="nil"/>
              <w:right w:val="nil"/>
            </w:tcBorders>
            <w:vAlign w:val="bottom"/>
          </w:tcPr>
          <w:p w14:paraId="613C70D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4"/>
            <w:tcBorders>
              <w:top w:val="nil"/>
              <w:left w:val="nil"/>
              <w:bottom w:val="nil"/>
              <w:right w:val="nil"/>
            </w:tcBorders>
            <w:vAlign w:val="bottom"/>
          </w:tcPr>
          <w:p w14:paraId="66C25A1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bl>
    <w:p w14:paraId="5E052E17" w14:textId="77777777" w:rsidR="005045F1" w:rsidRDefault="005045F1" w:rsidP="00353B36">
      <w:pPr>
        <w:jc w:val="both"/>
        <w:rPr>
          <w:lang w:val="id-ID"/>
        </w:rPr>
      </w:pPr>
    </w:p>
    <w:p w14:paraId="07C60EF0" w14:textId="77777777" w:rsidR="005045F1" w:rsidRDefault="005045F1" w:rsidP="00353B36">
      <w:pPr>
        <w:jc w:val="both"/>
        <w:rPr>
          <w:lang w:val="id-ID"/>
        </w:rPr>
      </w:pPr>
    </w:p>
    <w:p w14:paraId="5437B3D9" w14:textId="77777777" w:rsidR="005045F1" w:rsidRDefault="005045F1" w:rsidP="00353B36">
      <w:pPr>
        <w:jc w:val="both"/>
        <w:rPr>
          <w:lang w:val="id-ID"/>
        </w:rPr>
      </w:pPr>
    </w:p>
    <w:p w14:paraId="5E5595D1" w14:textId="77777777" w:rsidR="005045F1" w:rsidRDefault="005045F1" w:rsidP="00353B36">
      <w:pPr>
        <w:jc w:val="both"/>
        <w:rPr>
          <w:lang w:val="id-ID"/>
        </w:rPr>
      </w:pPr>
    </w:p>
    <w:p w14:paraId="14616126" w14:textId="77777777" w:rsidR="005045F1" w:rsidRDefault="005045F1" w:rsidP="00353B36">
      <w:pPr>
        <w:jc w:val="both"/>
        <w:rPr>
          <w:lang w:val="id-ID"/>
        </w:rPr>
      </w:pPr>
    </w:p>
    <w:p w14:paraId="76D8A9B2" w14:textId="77777777" w:rsidR="005045F1" w:rsidRDefault="005045F1" w:rsidP="00353B36">
      <w:pPr>
        <w:jc w:val="both"/>
        <w:rPr>
          <w:lang w:val="id-ID"/>
        </w:rPr>
      </w:pPr>
    </w:p>
    <w:p w14:paraId="70F30906" w14:textId="77777777" w:rsidR="005045F1" w:rsidRDefault="005045F1" w:rsidP="00353B36">
      <w:pPr>
        <w:jc w:val="both"/>
        <w:rPr>
          <w:lang w:val="id-ID"/>
        </w:rPr>
      </w:pPr>
    </w:p>
    <w:p w14:paraId="36AE12A8" w14:textId="77777777" w:rsidR="005045F1" w:rsidRDefault="005045F1" w:rsidP="00353B36">
      <w:pPr>
        <w:jc w:val="both"/>
        <w:rPr>
          <w:lang w:val="id-ID"/>
        </w:rPr>
      </w:pPr>
    </w:p>
    <w:p w14:paraId="4F0E8B06" w14:textId="77777777" w:rsidR="005045F1" w:rsidRDefault="005045F1" w:rsidP="00353B36">
      <w:pPr>
        <w:jc w:val="both"/>
        <w:rPr>
          <w:lang w:val="id-ID"/>
        </w:rPr>
      </w:pPr>
    </w:p>
    <w:p w14:paraId="7BF856C5" w14:textId="77777777" w:rsidR="005045F1" w:rsidRDefault="005045F1" w:rsidP="00353B36">
      <w:pPr>
        <w:jc w:val="both"/>
        <w:rPr>
          <w:lang w:val="id-ID"/>
        </w:rPr>
      </w:pPr>
    </w:p>
    <w:p w14:paraId="0125AB7F" w14:textId="77777777" w:rsidR="005045F1" w:rsidRDefault="005045F1" w:rsidP="00353B36">
      <w:pPr>
        <w:jc w:val="both"/>
        <w:rPr>
          <w:lang w:val="id-ID"/>
        </w:rPr>
      </w:pPr>
    </w:p>
    <w:p w14:paraId="1D30D838" w14:textId="77777777" w:rsidR="005045F1" w:rsidRDefault="005045F1" w:rsidP="00353B36">
      <w:pPr>
        <w:jc w:val="both"/>
        <w:rPr>
          <w:lang w:val="id-ID"/>
        </w:rPr>
      </w:pPr>
    </w:p>
    <w:p w14:paraId="75E38ED8" w14:textId="77777777" w:rsidR="005045F1" w:rsidRDefault="005045F1" w:rsidP="00353B36">
      <w:pPr>
        <w:jc w:val="both"/>
        <w:rPr>
          <w:lang w:val="id-ID"/>
        </w:rPr>
      </w:pPr>
    </w:p>
    <w:p w14:paraId="35EBEA25" w14:textId="77777777" w:rsidR="005045F1" w:rsidRDefault="005045F1" w:rsidP="00353B36">
      <w:pPr>
        <w:jc w:val="both"/>
        <w:rPr>
          <w:lang w:val="id-ID"/>
        </w:rPr>
      </w:pPr>
    </w:p>
    <w:p w14:paraId="36825E71" w14:textId="77777777" w:rsidR="005045F1" w:rsidRDefault="005045F1" w:rsidP="00353B36">
      <w:pPr>
        <w:jc w:val="both"/>
        <w:rPr>
          <w:lang w:val="id-ID"/>
        </w:rPr>
      </w:pPr>
    </w:p>
    <w:p w14:paraId="426DD617" w14:textId="77777777" w:rsidR="005045F1" w:rsidRDefault="005045F1" w:rsidP="00353B36">
      <w:pPr>
        <w:jc w:val="both"/>
        <w:rPr>
          <w:lang w:val="id-ID"/>
        </w:rPr>
      </w:pPr>
    </w:p>
    <w:p w14:paraId="0ABAFD4F" w14:textId="77777777" w:rsidR="005045F1" w:rsidRDefault="005045F1" w:rsidP="00353B36">
      <w:pPr>
        <w:jc w:val="both"/>
        <w:rPr>
          <w:lang w:val="id-ID"/>
        </w:rPr>
      </w:pPr>
    </w:p>
    <w:p w14:paraId="42948815" w14:textId="77777777" w:rsidR="005045F1" w:rsidRDefault="005045F1" w:rsidP="00353B36">
      <w:pPr>
        <w:jc w:val="both"/>
        <w:rPr>
          <w:lang w:val="id-ID"/>
        </w:rPr>
      </w:pPr>
    </w:p>
    <w:p w14:paraId="573552F0" w14:textId="77777777" w:rsidR="005045F1" w:rsidRDefault="005045F1" w:rsidP="00353B36">
      <w:pPr>
        <w:jc w:val="both"/>
        <w:rPr>
          <w:lang w:val="id-ID"/>
        </w:rPr>
      </w:pPr>
    </w:p>
    <w:p w14:paraId="33BB9BB4" w14:textId="77777777" w:rsidR="005045F1" w:rsidRDefault="005045F1" w:rsidP="00353B36">
      <w:pPr>
        <w:jc w:val="both"/>
        <w:rPr>
          <w:lang w:val="id-ID"/>
        </w:rPr>
      </w:pPr>
    </w:p>
    <w:p w14:paraId="3F510C0D" w14:textId="77777777" w:rsidR="005045F1" w:rsidRDefault="005045F1" w:rsidP="00353B36">
      <w:pPr>
        <w:jc w:val="both"/>
        <w:rPr>
          <w:lang w:val="id-ID"/>
        </w:rPr>
      </w:pPr>
    </w:p>
    <w:p w14:paraId="23482963" w14:textId="77777777" w:rsidR="005045F1" w:rsidRDefault="005045F1" w:rsidP="00353B36">
      <w:pPr>
        <w:jc w:val="both"/>
        <w:rPr>
          <w:lang w:val="id-ID"/>
        </w:rPr>
      </w:pPr>
    </w:p>
    <w:p w14:paraId="22688C90" w14:textId="77777777" w:rsidR="005045F1" w:rsidRDefault="005045F1" w:rsidP="00353B36">
      <w:pPr>
        <w:jc w:val="both"/>
        <w:rPr>
          <w:lang w:val="id-ID"/>
        </w:rPr>
      </w:pPr>
    </w:p>
    <w:p w14:paraId="1FE542BC" w14:textId="77777777" w:rsidR="005045F1" w:rsidRDefault="005045F1" w:rsidP="00353B36">
      <w:pPr>
        <w:jc w:val="both"/>
        <w:rPr>
          <w:lang w:val="id-ID"/>
        </w:rPr>
      </w:pPr>
    </w:p>
    <w:p w14:paraId="393DF8A5" w14:textId="77777777" w:rsidR="005045F1" w:rsidRDefault="005045F1" w:rsidP="00353B36">
      <w:pPr>
        <w:jc w:val="both"/>
        <w:rPr>
          <w:lang w:val="id-ID"/>
        </w:rPr>
      </w:pPr>
    </w:p>
    <w:p w14:paraId="19789D52" w14:textId="77777777" w:rsidR="005045F1" w:rsidRDefault="005045F1" w:rsidP="00353B36">
      <w:pPr>
        <w:jc w:val="both"/>
        <w:rPr>
          <w:lang w:val="id-ID"/>
        </w:rPr>
      </w:pPr>
    </w:p>
    <w:p w14:paraId="4338224A" w14:textId="77777777" w:rsidR="005045F1" w:rsidRDefault="005045F1" w:rsidP="00353B36">
      <w:pPr>
        <w:jc w:val="both"/>
        <w:rPr>
          <w:lang w:val="id-ID"/>
        </w:rPr>
      </w:pPr>
    </w:p>
    <w:p w14:paraId="5B884001" w14:textId="77777777" w:rsidR="005045F1" w:rsidRDefault="005045F1" w:rsidP="00353B36">
      <w:pPr>
        <w:jc w:val="both"/>
        <w:rPr>
          <w:lang w:val="id-ID"/>
        </w:rPr>
      </w:pPr>
    </w:p>
    <w:p w14:paraId="150C5F60" w14:textId="77777777" w:rsidR="005045F1" w:rsidRDefault="005045F1" w:rsidP="00353B36">
      <w:pPr>
        <w:jc w:val="both"/>
        <w:rPr>
          <w:lang w:val="id-ID"/>
        </w:rPr>
      </w:pPr>
    </w:p>
    <w:p w14:paraId="3C14B024" w14:textId="77777777" w:rsidR="005045F1" w:rsidRDefault="005045F1" w:rsidP="00353B36">
      <w:pPr>
        <w:jc w:val="both"/>
        <w:rPr>
          <w:lang w:val="id-ID"/>
        </w:rPr>
      </w:pPr>
    </w:p>
    <w:p w14:paraId="7365BF32" w14:textId="77777777" w:rsidR="00C95048" w:rsidRDefault="00C95048" w:rsidP="00353B36">
      <w:pPr>
        <w:jc w:val="both"/>
        <w:rPr>
          <w:lang w:val="id-ID"/>
        </w:rPr>
      </w:pPr>
    </w:p>
    <w:p w14:paraId="2164D023" w14:textId="77777777" w:rsidR="00C95048" w:rsidRDefault="00C95048" w:rsidP="00353B36">
      <w:pPr>
        <w:jc w:val="both"/>
        <w:rPr>
          <w:lang w:val="id-ID"/>
        </w:rPr>
      </w:pPr>
    </w:p>
    <w:p w14:paraId="71F57934" w14:textId="77777777" w:rsidR="005045F1" w:rsidRDefault="009E17BF" w:rsidP="00353B36">
      <w:pPr>
        <w:jc w:val="both"/>
        <w:rPr>
          <w:lang w:val="id-ID"/>
        </w:rPr>
        <w:sectPr w:rsidR="005045F1" w:rsidSect="005045F1">
          <w:type w:val="continuous"/>
          <w:pgSz w:w="11906" w:h="16838"/>
          <w:pgMar w:top="1440" w:right="1016" w:bottom="1440" w:left="1170" w:header="708" w:footer="708" w:gutter="0"/>
          <w:cols w:space="708"/>
          <w:docGrid w:linePitch="360"/>
        </w:sectPr>
      </w:pPr>
      <w:bookmarkStart w:id="0" w:name="_GoBack"/>
      <w:bookmarkEnd w:id="0"/>
      <w:r w:rsidRPr="009E17BF">
        <w:rPr>
          <w:lang w:val="id-ID"/>
        </w:rPr>
        <w:t>Based on equations (4) and table 2., it is interpreted and compared with the research hypothesis as follows: In the relationship / influence together shows that the variable growth of company (FG), CAR, NPL, LDR, BOPO and growth DPK (DG) profitability (ROA) of banking with a confidence level of 95 percent, where the value of Prob (F-statistic) of 0.00000 is smaller than α = 0.05. The empirical findings of this study are in line with the research hypothesis which states that the independent variable of company growth (FG), CAR, NPL, LDR, BOPO, and growth of DPK (DG) influence on dependent variable profitability (ROA). Partially free variable CAR with t-statistic probability value</w:t>
      </w:r>
      <w:r w:rsidR="00E17992">
        <w:rPr>
          <w:lang w:val="id-ID"/>
        </w:rPr>
        <w:t>s</w:t>
      </w:r>
      <w:r w:rsidRPr="009E17BF">
        <w:rPr>
          <w:lang w:val="id-ID"/>
        </w:rPr>
        <w:t xml:space="preserve"> (0.0004) have significant negative effect and free variable of NPL with t-statistic probability value (0.0287) have significant negative effect with 95% significance level to profitability free variable (ROA). The independent variable of firm growth (FG) with t-statistic probability value</w:t>
      </w:r>
      <w:r w:rsidR="00E17992">
        <w:rPr>
          <w:lang w:val="id-ID"/>
        </w:rPr>
        <w:t>s</w:t>
      </w:r>
      <w:r w:rsidRPr="009E17BF">
        <w:rPr>
          <w:lang w:val="id-ID"/>
        </w:rPr>
        <w:t xml:space="preserve"> (0.0833) has a significant positive effect and the DPK (DG) growth free variable with t-statistic probability value (0.0661) has significant negative effect with 90% significance level to profitability free variable (ROA ). Besides, independent variable of LDR have </w:t>
      </w:r>
    </w:p>
    <w:p w14:paraId="05738DFC" w14:textId="24ABE824" w:rsidR="00DF1987" w:rsidRDefault="009E17BF" w:rsidP="00353B36">
      <w:pPr>
        <w:jc w:val="both"/>
        <w:rPr>
          <w:lang w:val="id-ID"/>
        </w:rPr>
      </w:pPr>
      <w:r w:rsidRPr="009E17BF">
        <w:rPr>
          <w:lang w:val="id-ID"/>
        </w:rPr>
        <w:lastRenderedPageBreak/>
        <w:t>positive effect is not signifi</w:t>
      </w:r>
      <w:r w:rsidR="00E17992">
        <w:rPr>
          <w:lang w:val="id-ID"/>
        </w:rPr>
        <w:t>cant and BOPO free variable has</w:t>
      </w:r>
      <w:r w:rsidRPr="009E17BF">
        <w:rPr>
          <w:lang w:val="id-ID"/>
        </w:rPr>
        <w:t xml:space="preserve"> positive effect not significant to profitability (ROA)</w:t>
      </w:r>
      <w:r w:rsidR="00937462">
        <w:rPr>
          <w:lang w:val="id-ID"/>
        </w:rPr>
        <w:t>.</w:t>
      </w:r>
    </w:p>
    <w:p w14:paraId="3D1AA54F" w14:textId="77777777" w:rsidR="00582A0D" w:rsidRDefault="00B212BC" w:rsidP="00DF1987">
      <w:pPr>
        <w:jc w:val="both"/>
        <w:rPr>
          <w:lang w:val="id-ID"/>
        </w:rPr>
      </w:pPr>
      <w:r>
        <w:rPr>
          <w:lang w:val="id-ID"/>
        </w:rPr>
        <w:t xml:space="preserve">     </w:t>
      </w:r>
    </w:p>
    <w:p w14:paraId="42449A58" w14:textId="77777777" w:rsidR="00B212BC" w:rsidRDefault="00F25F05" w:rsidP="00DF1987">
      <w:pPr>
        <w:jc w:val="both"/>
        <w:rPr>
          <w:lang w:val="id-ID"/>
        </w:rPr>
      </w:pPr>
      <w:r>
        <w:rPr>
          <w:lang w:val="id-ID"/>
        </w:rPr>
        <w:t>Regression of panel data onto each company at</w:t>
      </w:r>
      <w:r w:rsidR="00E17992" w:rsidRPr="00E17992">
        <w:rPr>
          <w:lang w:val="id-ID"/>
        </w:rPr>
        <w:t xml:space="preserve"> random effect</w:t>
      </w:r>
      <w:r>
        <w:rPr>
          <w:lang w:val="id-ID"/>
        </w:rPr>
        <w:t>s</w:t>
      </w:r>
      <w:r w:rsidR="00E17992" w:rsidRPr="00E17992">
        <w:rPr>
          <w:lang w:val="id-ID"/>
        </w:rPr>
        <w:t xml:space="preserve"> model is shown in constant of 27 bank</w:t>
      </w:r>
      <w:r>
        <w:rPr>
          <w:lang w:val="id-ID"/>
        </w:rPr>
        <w:t>s</w:t>
      </w:r>
      <w:r w:rsidR="00E17992" w:rsidRPr="00E17992">
        <w:rPr>
          <w:lang w:val="id-ID"/>
        </w:rPr>
        <w:t xml:space="preserve">, most sensitive bank or bank has the greatest sensitivity (is PT. Bank Internasional Indonesia Tbk. </w:t>
      </w:r>
      <w:r w:rsidR="00E17992" w:rsidRPr="00E17992">
        <w:rPr>
          <w:lang w:val="id-ID"/>
        </w:rPr>
        <w:lastRenderedPageBreak/>
        <w:t xml:space="preserve">(BNII) with a total value of 0.04562. While most banks are </w:t>
      </w:r>
      <w:r>
        <w:rPr>
          <w:lang w:val="id-ID"/>
        </w:rPr>
        <w:t>not sensitive or banks that has</w:t>
      </w:r>
      <w:r w:rsidR="00E17992" w:rsidRPr="00E17992">
        <w:rPr>
          <w:lang w:val="id-ID"/>
        </w:rPr>
        <w:t xml:space="preserve"> the smallest constants value is PT. Bank MNC International Tbk. (BABP), with a total value of - 0.016448</w:t>
      </w:r>
      <w:r w:rsidR="00441FB1">
        <w:rPr>
          <w:lang w:val="id-ID"/>
        </w:rPr>
        <w:t>.</w:t>
      </w:r>
    </w:p>
    <w:p w14:paraId="5CE20938" w14:textId="77777777" w:rsidR="00582A0D" w:rsidRDefault="00582A0D" w:rsidP="00DF1987">
      <w:pPr>
        <w:jc w:val="both"/>
        <w:rPr>
          <w:lang w:val="id-ID"/>
        </w:rPr>
      </w:pPr>
    </w:p>
    <w:p w14:paraId="66888EB8" w14:textId="77777777" w:rsidR="00353B36" w:rsidRDefault="009E17BF" w:rsidP="00353B36">
      <w:pPr>
        <w:jc w:val="both"/>
        <w:rPr>
          <w:lang w:val="id-ID"/>
        </w:rPr>
      </w:pPr>
      <w:r w:rsidRPr="009E17BF">
        <w:rPr>
          <w:lang w:val="id-ID"/>
        </w:rPr>
        <w:t>For the goodness of fit test measured by the coefficient of determination or R square (R2) = 0.2522, it can be i</w:t>
      </w:r>
      <w:r w:rsidR="00F25F05">
        <w:rPr>
          <w:lang w:val="id-ID"/>
        </w:rPr>
        <w:t>nterpreted that the variation on</w:t>
      </w:r>
      <w:r w:rsidRPr="009E17BF">
        <w:rPr>
          <w:lang w:val="id-ID"/>
        </w:rPr>
        <w:t xml:space="preserve"> the change and fall of profitability (ROA) can be explained by the independent variable growth of company (FG), CAR, NPL, LDR, BOPO, growth of DPK (DG) of 25.22 percent, while the rest, which is equal to 74.78 percent can be explained by other variables outside the</w:t>
      </w:r>
      <w:r w:rsidR="00F25F05">
        <w:rPr>
          <w:lang w:val="id-ID"/>
        </w:rPr>
        <w:t xml:space="preserve"> random effects model applied to</w:t>
      </w:r>
      <w:r w:rsidRPr="009E17BF">
        <w:rPr>
          <w:lang w:val="id-ID"/>
        </w:rPr>
        <w:t xml:space="preserve"> the study. For the adjusted coefficient of determination (R2 adjusted) yielded a number of 0.2233 which means that after considering the degree of freedom of the random effect model used, all independent variables used in this study can explain the changes that occurred in the banking stock price during the period 2010-2016 22.33 percent. The result of estimation of factors influencing firm value</w:t>
      </w:r>
      <w:r w:rsidR="00F25F05">
        <w:rPr>
          <w:lang w:val="id-ID"/>
        </w:rPr>
        <w:t>s</w:t>
      </w:r>
      <w:r w:rsidRPr="009E17BF">
        <w:rPr>
          <w:lang w:val="id-ID"/>
        </w:rPr>
        <w:t>, that is company growth (FG), CAR, NPL, LDR, BOPO, growth of DPK, and profitability (ROA) using random effect model in table 2., can be written in the form of equation</w:t>
      </w:r>
      <w:r w:rsidR="00353B36">
        <w:rPr>
          <w:lang w:val="id-ID"/>
        </w:rPr>
        <w:t xml:space="preserve"> :</w:t>
      </w:r>
    </w:p>
    <w:p w14:paraId="1FD81FD5" w14:textId="49AA44E5" w:rsidR="009C7FB3" w:rsidRDefault="001F5D6A" w:rsidP="009C7FB3">
      <w:pPr>
        <w:jc w:val="both"/>
        <w:rPr>
          <w:b/>
          <w:lang w:val="id-ID"/>
        </w:rPr>
      </w:pPr>
      <w:r>
        <w:rPr>
          <w:noProof/>
        </w:rPr>
        <mc:AlternateContent>
          <mc:Choice Requires="wps">
            <w:drawing>
              <wp:anchor distT="0" distB="0" distL="114300" distR="114300" simplePos="0" relativeHeight="251659264" behindDoc="0" locked="0" layoutInCell="1" allowOverlap="1" wp14:anchorId="21A04783" wp14:editId="5AF6BC0D">
                <wp:simplePos x="0" y="0"/>
                <wp:positionH relativeFrom="column">
                  <wp:posOffset>5195</wp:posOffset>
                </wp:positionH>
                <wp:positionV relativeFrom="paragraph">
                  <wp:posOffset>70658</wp:posOffset>
                </wp:positionV>
                <wp:extent cx="6161290" cy="838200"/>
                <wp:effectExtent l="0" t="0" r="36830" b="2540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290" cy="838200"/>
                        </a:xfrm>
                        <a:prstGeom prst="rect">
                          <a:avLst/>
                        </a:prstGeom>
                        <a:solidFill>
                          <a:srgbClr val="FFFFFF"/>
                        </a:solidFill>
                        <a:ln w="9525">
                          <a:solidFill>
                            <a:srgbClr val="000000"/>
                          </a:solidFill>
                          <a:miter lim="800000"/>
                          <a:headEnd/>
                          <a:tailEnd/>
                        </a:ln>
                      </wps:spPr>
                      <wps:txbx>
                        <w:txbxContent>
                          <w:p w14:paraId="0F523D36" w14:textId="77777777" w:rsidR="00A40E33" w:rsidRPr="008057DA" w:rsidRDefault="00A40E33" w:rsidP="00D50C0C">
                            <w:pPr>
                              <w:ind w:left="900" w:hanging="900"/>
                              <w:jc w:val="both"/>
                              <w:rPr>
                                <w:lang w:val="id-ID"/>
                              </w:rPr>
                            </w:pPr>
                            <w:r>
                              <w:rPr>
                                <w:i/>
                                <w:lang w:val="id-ID"/>
                              </w:rPr>
                              <w:t xml:space="preserve">TOBIN: </w:t>
                            </w:r>
                            <w:r>
                              <w:t>(</w:t>
                            </w:r>
                            <w:r w:rsidRPr="00C200B5">
                              <w:t>C</w:t>
                            </w:r>
                            <w:r w:rsidRPr="00C200B5">
                              <w:rPr>
                                <w:vertAlign w:val="subscript"/>
                              </w:rPr>
                              <w:t>i</w:t>
                            </w:r>
                            <w:r w:rsidRPr="00C200B5">
                              <w:t>+ 1,385980</w:t>
                            </w:r>
                            <w:r>
                              <w:t>)</w:t>
                            </w:r>
                            <w:r>
                              <w:rPr>
                                <w:i/>
                              </w:rPr>
                              <w:t>+</w:t>
                            </w:r>
                            <w:r>
                              <w:t>0,038048</w:t>
                            </w:r>
                            <w:r w:rsidRPr="00C200B5">
                              <w:t>FG</w:t>
                            </w:r>
                            <w:r w:rsidRPr="00C200B5">
                              <w:rPr>
                                <w:i/>
                              </w:rPr>
                              <w:t>+</w:t>
                            </w:r>
                            <w:r>
                              <w:t xml:space="preserve"> </w:t>
                            </w:r>
                            <w:r w:rsidRPr="00C200B5">
                              <w:t>0,158300CAR</w:t>
                            </w:r>
                            <w:r>
                              <w:t xml:space="preserve"> </w:t>
                            </w:r>
                            <w:r w:rsidRPr="00C200B5">
                              <w:rPr>
                                <w:i/>
                              </w:rPr>
                              <w:t xml:space="preserve">– </w:t>
                            </w:r>
                            <w:r w:rsidRPr="00C200B5">
                              <w:t xml:space="preserve">0,413841NPL- </w:t>
                            </w:r>
                            <w:r w:rsidRPr="00C200B5">
                              <w:rPr>
                                <w:i/>
                              </w:rPr>
                              <w:t xml:space="preserve"> </w:t>
                            </w:r>
                            <w:r w:rsidRPr="00C200B5">
                              <w:t>0,065455LDR</w:t>
                            </w:r>
                            <w:r w:rsidRPr="00C200B5">
                              <w:rPr>
                                <w:i/>
                                <w:vertAlign w:val="subscript"/>
                              </w:rPr>
                              <w:t xml:space="preserve"> </w:t>
                            </w:r>
                            <w:r>
                              <w:t xml:space="preserve">- 0,036387BOPO  +1,473858 DG </w:t>
                            </w:r>
                            <w:r w:rsidRPr="00C200B5">
                              <w:t>+ 0,075268 ROA</w:t>
                            </w:r>
                            <w:r w:rsidRPr="00B55DA8">
                              <w:rPr>
                                <w:b/>
                              </w:rPr>
                              <w:t xml:space="preserve">  </w:t>
                            </w:r>
                          </w:p>
                          <w:p w14:paraId="6102EAA6" w14:textId="77777777" w:rsidR="00A40E33" w:rsidRPr="008057DA" w:rsidRDefault="00A40E33" w:rsidP="00C200B5">
                            <w:pPr>
                              <w:ind w:left="851" w:hanging="851"/>
                              <w:jc w:val="both"/>
                              <w:rPr>
                                <w:lang w:val="id-ID"/>
                              </w:rPr>
                            </w:pPr>
                          </w:p>
                          <w:p w14:paraId="47F0DEAF" w14:textId="77777777" w:rsidR="00A40E33" w:rsidRPr="008057DA" w:rsidRDefault="00A40E33" w:rsidP="00C200B5">
                            <w:pPr>
                              <w:ind w:left="851" w:hanging="851"/>
                              <w:rPr>
                                <w:lang w:val="id-ID"/>
                              </w:rPr>
                            </w:pPr>
                          </w:p>
                          <w:p w14:paraId="7E9BCD7E" w14:textId="77777777" w:rsidR="00A40E33" w:rsidRPr="008057DA" w:rsidRDefault="00A40E33" w:rsidP="00C200B5">
                            <w:pPr>
                              <w:ind w:left="851" w:hanging="851"/>
                              <w:rPr>
                                <w:lang w:val="id-ID"/>
                              </w:rPr>
                            </w:pPr>
                          </w:p>
                          <w:p w14:paraId="3A274685" w14:textId="77777777" w:rsidR="00A40E33" w:rsidRPr="008057DA" w:rsidRDefault="00A40E33" w:rsidP="00C200B5">
                            <w:pPr>
                              <w:ind w:left="851" w:hanging="851"/>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4783" id="Rectangle 13" o:spid="_x0000_s1034" style="position:absolute;left:0;text-align:left;margin-left:.4pt;margin-top:5.55pt;width:485.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WZJikCAABPBAAADgAAAGRycy9lMm9Eb2MueG1srFTbjtMwEH1H4h8sv9M03ba0UdPVqksR0gIr&#10;Fj7AcZzEwjfGbpPl6xk73W4XeELkwfJ4xscz58xkcz1oRY4CvLSmpPlkSokw3NbStCX99nX/ZkWJ&#10;D8zUTFkjSvooPL3evn616V0hZrazqhZAEMT4oncl7UJwRZZ53gnN/MQ6YdDZWNAsoAltVgPrEV2r&#10;bDadLrPeQu3AcuE9nt6OTrpN+E0jePjcNF4EokqKuYW0QlqruGbbDStaYK6T/JQG+4csNJMGHz1D&#10;3bLAyAHkH1BacrDeNmHCrc5s00guUg1YTT79rZqHjjmRakFyvDvT5P8fLP90vAci65IuKDFMo0Rf&#10;kDRmWiVIfhX56Z0vMOzB3UOs0Ls7y797YuyuwzBxA2D7TrAas8pjfPbiQjQ8XiVV/9HWCM8OwSaq&#10;hgZ0BEQSyJAUeTwrIoZAOB4u82U+W6NwHH2rqxVKnp5gxdNtBz68F1aTuCkpYPIJnR3vfIjZsOIp&#10;JGVvlaz3UqlkQFvtFJAjw+7Yp++E7i/DlCF9SdeL2SIhv/D5S4hp+v4GoWXANldSYxXnIFZE2t6Z&#10;OjVhYFKNe0xZmROPkbpRgjBUQxJqFR+ItFa2fkRiwY5djVOIm87CT0p67OiS+h8HBoIS9cGgOOt8&#10;Po8jkIz54u0MDbj0VJceZjhClTRQMm53YRybgwPZdvhSntgw9gYFbWTi+jmrU/rYtUmC04TFsbi0&#10;U9Tzf2D7CwAA//8DAFBLAwQUAAYACAAAACEAyzHfuNsAAAAHAQAADwAAAGRycy9kb3ducmV2Lnht&#10;bEyOwU7DMBBE70j8g7VI3KiTFgENcSoEKhLHNr1w28RLEojXUey0ga9ne4Lb7Mxq5uWb2fXqSGPo&#10;PBtIFwko4trbjhsDh3J78wAqRGSLvWcy8E0BNsXlRY6Z9Sfe0XEfGyUlHDI00MY4ZFqHuiWHYeEH&#10;Ysk+/Ogwyjk22o54knLX62WS3GmHHctCiwM9t1R/7SdnoOqWB/zZla+JW29X8W0uP6f3F2Our+an&#10;R1CR5vj3DGd8QYdCmCo/sQ2qNyDcUdw0BSXp+v4sKjFuVynoItf/+YtfAAAA//8DAFBLAQItABQA&#10;BgAIAAAAIQDkmcPA+wAAAOEBAAATAAAAAAAAAAAAAAAAAAAAAABbQ29udGVudF9UeXBlc10ueG1s&#10;UEsBAi0AFAAGAAgAAAAhACOyauHXAAAAlAEAAAsAAAAAAAAAAAAAAAAALAEAAF9yZWxzLy5yZWxz&#10;UEsBAi0AFAAGAAgAAAAhAAWVmSYpAgAATwQAAA4AAAAAAAAAAAAAAAAALAIAAGRycy9lMm9Eb2Mu&#10;eG1sUEsBAi0AFAAGAAgAAAAhAMsx37jbAAAABwEAAA8AAAAAAAAAAAAAAAAAgQQAAGRycy9kb3du&#10;cmV2LnhtbFBLBQYAAAAABAAEAPMAAACJBQAAAAA=&#10;">
                <v:textbox>
                  <w:txbxContent>
                    <w:p w14:paraId="0F523D36" w14:textId="77777777" w:rsidR="00A40E33" w:rsidRPr="008057DA" w:rsidRDefault="00A40E33" w:rsidP="00D50C0C">
                      <w:pPr>
                        <w:ind w:left="900" w:hanging="900"/>
                        <w:jc w:val="both"/>
                        <w:rPr>
                          <w:lang w:val="id-ID"/>
                        </w:rPr>
                      </w:pPr>
                      <w:r>
                        <w:rPr>
                          <w:i/>
                          <w:lang w:val="id-ID"/>
                        </w:rPr>
                        <w:t xml:space="preserve">TOBIN: </w:t>
                      </w:r>
                      <w:r>
                        <w:t>(</w:t>
                      </w:r>
                      <w:r w:rsidRPr="00C200B5">
                        <w:t>C</w:t>
                      </w:r>
                      <w:r w:rsidRPr="00C200B5">
                        <w:rPr>
                          <w:vertAlign w:val="subscript"/>
                        </w:rPr>
                        <w:t>i</w:t>
                      </w:r>
                      <w:r w:rsidRPr="00C200B5">
                        <w:t>+ 1,385980</w:t>
                      </w:r>
                      <w:r>
                        <w:t>)</w:t>
                      </w:r>
                      <w:r>
                        <w:rPr>
                          <w:i/>
                        </w:rPr>
                        <w:t>+</w:t>
                      </w:r>
                      <w:r>
                        <w:t>0,038048</w:t>
                      </w:r>
                      <w:r w:rsidRPr="00C200B5">
                        <w:t>FG</w:t>
                      </w:r>
                      <w:r w:rsidRPr="00C200B5">
                        <w:rPr>
                          <w:i/>
                        </w:rPr>
                        <w:t>+</w:t>
                      </w:r>
                      <w:r>
                        <w:t xml:space="preserve"> </w:t>
                      </w:r>
                      <w:r w:rsidRPr="00C200B5">
                        <w:t>0,158300CAR</w:t>
                      </w:r>
                      <w:r>
                        <w:t xml:space="preserve"> </w:t>
                      </w:r>
                      <w:r w:rsidRPr="00C200B5">
                        <w:rPr>
                          <w:i/>
                        </w:rPr>
                        <w:t xml:space="preserve">– </w:t>
                      </w:r>
                      <w:r w:rsidRPr="00C200B5">
                        <w:t xml:space="preserve">0,413841NPL- </w:t>
                      </w:r>
                      <w:r w:rsidRPr="00C200B5">
                        <w:rPr>
                          <w:i/>
                        </w:rPr>
                        <w:t xml:space="preserve"> </w:t>
                      </w:r>
                      <w:r w:rsidRPr="00C200B5">
                        <w:t>0,065455LDR</w:t>
                      </w:r>
                      <w:r w:rsidRPr="00C200B5">
                        <w:rPr>
                          <w:i/>
                          <w:vertAlign w:val="subscript"/>
                        </w:rPr>
                        <w:t xml:space="preserve"> </w:t>
                      </w:r>
                      <w:r>
                        <w:t xml:space="preserve">- 0,036387BOPO  +1,473858 DG </w:t>
                      </w:r>
                      <w:r w:rsidRPr="00C200B5">
                        <w:t>+ 0,075268 ROA</w:t>
                      </w:r>
                      <w:r w:rsidRPr="00B55DA8">
                        <w:rPr>
                          <w:b/>
                        </w:rPr>
                        <w:t xml:space="preserve">  </w:t>
                      </w:r>
                    </w:p>
                    <w:p w14:paraId="6102EAA6" w14:textId="77777777" w:rsidR="00A40E33" w:rsidRPr="008057DA" w:rsidRDefault="00A40E33" w:rsidP="00C200B5">
                      <w:pPr>
                        <w:ind w:left="851" w:hanging="851"/>
                        <w:jc w:val="both"/>
                        <w:rPr>
                          <w:lang w:val="id-ID"/>
                        </w:rPr>
                      </w:pPr>
                    </w:p>
                    <w:p w14:paraId="47F0DEAF" w14:textId="77777777" w:rsidR="00A40E33" w:rsidRPr="008057DA" w:rsidRDefault="00A40E33" w:rsidP="00C200B5">
                      <w:pPr>
                        <w:ind w:left="851" w:hanging="851"/>
                        <w:rPr>
                          <w:lang w:val="id-ID"/>
                        </w:rPr>
                      </w:pPr>
                    </w:p>
                    <w:p w14:paraId="7E9BCD7E" w14:textId="77777777" w:rsidR="00A40E33" w:rsidRPr="008057DA" w:rsidRDefault="00A40E33" w:rsidP="00C200B5">
                      <w:pPr>
                        <w:ind w:left="851" w:hanging="851"/>
                        <w:rPr>
                          <w:lang w:val="id-ID"/>
                        </w:rPr>
                      </w:pPr>
                    </w:p>
                    <w:p w14:paraId="3A274685" w14:textId="77777777" w:rsidR="00A40E33" w:rsidRPr="008057DA" w:rsidRDefault="00A40E33" w:rsidP="00C200B5">
                      <w:pPr>
                        <w:ind w:left="851" w:hanging="851"/>
                        <w:rPr>
                          <w:lang w:val="id-ID"/>
                        </w:rPr>
                      </w:pPr>
                    </w:p>
                  </w:txbxContent>
                </v:textbox>
              </v:rect>
            </w:pict>
          </mc:Fallback>
        </mc:AlternateContent>
      </w:r>
      <w:r w:rsidR="00353B36">
        <w:rPr>
          <w:b/>
          <w:lang w:val="id-ID"/>
        </w:rPr>
        <w:t xml:space="preserve"> </w:t>
      </w:r>
    </w:p>
    <w:p w14:paraId="4149F2F0" w14:textId="77777777" w:rsidR="009C7FB3" w:rsidRDefault="009C7FB3" w:rsidP="00884257">
      <w:pPr>
        <w:jc w:val="center"/>
        <w:rPr>
          <w:b/>
          <w:lang w:val="id-ID"/>
        </w:rPr>
      </w:pPr>
    </w:p>
    <w:p w14:paraId="4CF9C2BE" w14:textId="77777777" w:rsidR="00353B36" w:rsidRDefault="00353B36" w:rsidP="00884257">
      <w:pPr>
        <w:jc w:val="center"/>
        <w:rPr>
          <w:b/>
          <w:lang w:val="id-ID"/>
        </w:rPr>
      </w:pPr>
    </w:p>
    <w:p w14:paraId="24B0DFE5" w14:textId="77777777" w:rsidR="00353B36" w:rsidRDefault="00353B36" w:rsidP="00884257">
      <w:pPr>
        <w:jc w:val="center"/>
        <w:rPr>
          <w:b/>
          <w:lang w:val="id-ID"/>
        </w:rPr>
      </w:pPr>
    </w:p>
    <w:p w14:paraId="308A2B1C" w14:textId="77777777" w:rsidR="00353B36" w:rsidRDefault="00353B36" w:rsidP="00884257">
      <w:pPr>
        <w:jc w:val="center"/>
        <w:rPr>
          <w:b/>
          <w:lang w:val="id-ID"/>
        </w:rPr>
      </w:pPr>
    </w:p>
    <w:p w14:paraId="3FA49F9F" w14:textId="77777777" w:rsidR="00353B36" w:rsidRDefault="00353B36" w:rsidP="00884257">
      <w:pPr>
        <w:jc w:val="center"/>
        <w:rPr>
          <w:b/>
          <w:lang w:val="id-ID"/>
        </w:rPr>
      </w:pPr>
    </w:p>
    <w:p w14:paraId="672AD3EB" w14:textId="77777777" w:rsidR="005045F1" w:rsidRPr="009E17BF" w:rsidRDefault="005045F1" w:rsidP="005045F1">
      <w:pPr>
        <w:jc w:val="both"/>
        <w:rPr>
          <w:b/>
          <w:lang w:val="id-ID"/>
        </w:rPr>
      </w:pPr>
      <w:r>
        <w:rPr>
          <w:b/>
          <w:lang w:val="id-ID"/>
        </w:rPr>
        <w:t xml:space="preserve">Table 3 : </w:t>
      </w:r>
      <w:r w:rsidRPr="009E17BF">
        <w:rPr>
          <w:b/>
          <w:lang w:val="id-ID"/>
        </w:rPr>
        <w:t>Estimation of Random Effect Model</w:t>
      </w:r>
    </w:p>
    <w:p w14:paraId="7110DCC6" w14:textId="77777777" w:rsidR="005045F1" w:rsidRDefault="005045F1" w:rsidP="005045F1">
      <w:pPr>
        <w:jc w:val="center"/>
        <w:rPr>
          <w:b/>
          <w:lang w:val="id-ID"/>
        </w:rPr>
      </w:pPr>
      <w:r w:rsidRPr="009E17BF">
        <w:rPr>
          <w:b/>
          <w:lang w:val="id-ID"/>
        </w:rPr>
        <w:t>Determinants of Corporate Value</w:t>
      </w:r>
    </w:p>
    <w:p w14:paraId="2EF2992F" w14:textId="77777777" w:rsidR="005045F1" w:rsidRDefault="005045F1" w:rsidP="005045F1">
      <w:pPr>
        <w:jc w:val="center"/>
        <w:rPr>
          <w:b/>
          <w:lang w:val="id-ID"/>
        </w:rPr>
      </w:pPr>
    </w:p>
    <w:tbl>
      <w:tblPr>
        <w:tblW w:w="4650" w:type="dxa"/>
        <w:tblInd w:w="30" w:type="dxa"/>
        <w:tblLayout w:type="fixed"/>
        <w:tblCellMar>
          <w:left w:w="0" w:type="dxa"/>
          <w:right w:w="0" w:type="dxa"/>
        </w:tblCellMar>
        <w:tblLook w:val="0000" w:firstRow="0" w:lastRow="0" w:firstColumn="0" w:lastColumn="0" w:noHBand="0" w:noVBand="0"/>
      </w:tblPr>
      <w:tblGrid>
        <w:gridCol w:w="1590"/>
        <w:gridCol w:w="270"/>
        <w:gridCol w:w="563"/>
        <w:gridCol w:w="67"/>
        <w:gridCol w:w="743"/>
        <w:gridCol w:w="787"/>
        <w:gridCol w:w="308"/>
        <w:gridCol w:w="322"/>
      </w:tblGrid>
      <w:tr w:rsidR="005045F1" w:rsidRPr="007F2A3E" w14:paraId="34F047E6" w14:textId="77777777" w:rsidTr="0096540E">
        <w:trPr>
          <w:trHeight w:val="225"/>
        </w:trPr>
        <w:tc>
          <w:tcPr>
            <w:tcW w:w="3233" w:type="dxa"/>
            <w:gridSpan w:val="5"/>
            <w:tcBorders>
              <w:top w:val="nil"/>
              <w:left w:val="nil"/>
              <w:bottom w:val="nil"/>
              <w:right w:val="nil"/>
            </w:tcBorders>
            <w:vAlign w:val="bottom"/>
          </w:tcPr>
          <w:p w14:paraId="2BEB604A"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Dependent Variable: TOBIN?</w:t>
            </w:r>
          </w:p>
        </w:tc>
        <w:tc>
          <w:tcPr>
            <w:tcW w:w="1095" w:type="dxa"/>
            <w:gridSpan w:val="2"/>
            <w:tcBorders>
              <w:top w:val="nil"/>
              <w:left w:val="nil"/>
              <w:bottom w:val="nil"/>
              <w:right w:val="nil"/>
            </w:tcBorders>
            <w:vAlign w:val="bottom"/>
          </w:tcPr>
          <w:p w14:paraId="7FD9C3E8"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322" w:type="dxa"/>
            <w:tcBorders>
              <w:top w:val="nil"/>
              <w:left w:val="nil"/>
              <w:bottom w:val="nil"/>
              <w:right w:val="nil"/>
            </w:tcBorders>
            <w:vAlign w:val="bottom"/>
          </w:tcPr>
          <w:p w14:paraId="603D90FE"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7098B286" w14:textId="77777777" w:rsidTr="0096540E">
        <w:trPr>
          <w:trHeight w:val="225"/>
        </w:trPr>
        <w:tc>
          <w:tcPr>
            <w:tcW w:w="4650" w:type="dxa"/>
            <w:gridSpan w:val="8"/>
            <w:tcBorders>
              <w:top w:val="nil"/>
              <w:left w:val="nil"/>
              <w:bottom w:val="nil"/>
              <w:right w:val="nil"/>
            </w:tcBorders>
            <w:vAlign w:val="bottom"/>
          </w:tcPr>
          <w:p w14:paraId="0103246A"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Method: Pooled EGLS (Cross-section random effects)</w:t>
            </w:r>
          </w:p>
        </w:tc>
      </w:tr>
      <w:tr w:rsidR="005045F1" w:rsidRPr="007F2A3E" w14:paraId="4D9042CF" w14:textId="77777777" w:rsidTr="0096540E">
        <w:trPr>
          <w:trHeight w:val="225"/>
        </w:trPr>
        <w:tc>
          <w:tcPr>
            <w:tcW w:w="4650" w:type="dxa"/>
            <w:gridSpan w:val="8"/>
            <w:tcBorders>
              <w:top w:val="nil"/>
              <w:left w:val="nil"/>
              <w:bottom w:val="nil"/>
              <w:right w:val="nil"/>
            </w:tcBorders>
            <w:vAlign w:val="bottom"/>
          </w:tcPr>
          <w:p w14:paraId="2D05AB7A"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White diagonal standard errors &amp; covariance (no d.f. correction)</w:t>
            </w:r>
          </w:p>
        </w:tc>
      </w:tr>
      <w:tr w:rsidR="005045F1" w:rsidRPr="007F2A3E" w14:paraId="0DF31886" w14:textId="77777777" w:rsidTr="0096540E">
        <w:trPr>
          <w:trHeight w:hRule="exact" w:val="90"/>
        </w:trPr>
        <w:tc>
          <w:tcPr>
            <w:tcW w:w="1590" w:type="dxa"/>
            <w:tcBorders>
              <w:top w:val="nil"/>
              <w:left w:val="nil"/>
              <w:bottom w:val="double" w:sz="6" w:space="2" w:color="auto"/>
              <w:right w:val="nil"/>
            </w:tcBorders>
            <w:vAlign w:val="bottom"/>
          </w:tcPr>
          <w:p w14:paraId="325FD0B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33" w:type="dxa"/>
            <w:gridSpan w:val="2"/>
            <w:tcBorders>
              <w:top w:val="nil"/>
              <w:left w:val="nil"/>
              <w:bottom w:val="double" w:sz="6" w:space="2" w:color="auto"/>
              <w:right w:val="nil"/>
            </w:tcBorders>
            <w:vAlign w:val="bottom"/>
          </w:tcPr>
          <w:p w14:paraId="20D714A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double" w:sz="6" w:space="2" w:color="auto"/>
              <w:right w:val="nil"/>
            </w:tcBorders>
            <w:vAlign w:val="bottom"/>
          </w:tcPr>
          <w:p w14:paraId="76406DDC"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double" w:sz="6" w:space="2" w:color="auto"/>
              <w:right w:val="nil"/>
            </w:tcBorders>
            <w:vAlign w:val="bottom"/>
          </w:tcPr>
          <w:p w14:paraId="20C3824A"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double" w:sz="6" w:space="2" w:color="auto"/>
              <w:right w:val="nil"/>
            </w:tcBorders>
            <w:vAlign w:val="bottom"/>
          </w:tcPr>
          <w:p w14:paraId="076A23FB"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52D1FA80" w14:textId="77777777" w:rsidTr="0096540E">
        <w:trPr>
          <w:trHeight w:hRule="exact" w:val="135"/>
        </w:trPr>
        <w:tc>
          <w:tcPr>
            <w:tcW w:w="1590" w:type="dxa"/>
            <w:tcBorders>
              <w:top w:val="nil"/>
              <w:left w:val="nil"/>
              <w:bottom w:val="nil"/>
              <w:right w:val="nil"/>
            </w:tcBorders>
            <w:vAlign w:val="bottom"/>
          </w:tcPr>
          <w:p w14:paraId="420072F8"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33" w:type="dxa"/>
            <w:gridSpan w:val="2"/>
            <w:tcBorders>
              <w:top w:val="nil"/>
              <w:left w:val="nil"/>
              <w:bottom w:val="nil"/>
              <w:right w:val="nil"/>
            </w:tcBorders>
            <w:vAlign w:val="bottom"/>
          </w:tcPr>
          <w:p w14:paraId="264766F7"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nil"/>
              <w:right w:val="nil"/>
            </w:tcBorders>
            <w:vAlign w:val="bottom"/>
          </w:tcPr>
          <w:p w14:paraId="1C45E787"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nil"/>
              <w:right w:val="nil"/>
            </w:tcBorders>
            <w:vAlign w:val="bottom"/>
          </w:tcPr>
          <w:p w14:paraId="40CFD8B2"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00B8F66A"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34AAA0E6" w14:textId="77777777" w:rsidTr="0096540E">
        <w:trPr>
          <w:trHeight w:val="225"/>
        </w:trPr>
        <w:tc>
          <w:tcPr>
            <w:tcW w:w="1590" w:type="dxa"/>
            <w:tcBorders>
              <w:top w:val="nil"/>
              <w:left w:val="nil"/>
              <w:bottom w:val="nil"/>
              <w:right w:val="nil"/>
            </w:tcBorders>
            <w:vAlign w:val="bottom"/>
          </w:tcPr>
          <w:p w14:paraId="5C83F0F8"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Variable</w:t>
            </w:r>
          </w:p>
        </w:tc>
        <w:tc>
          <w:tcPr>
            <w:tcW w:w="833" w:type="dxa"/>
            <w:gridSpan w:val="2"/>
            <w:tcBorders>
              <w:top w:val="nil"/>
              <w:left w:val="nil"/>
              <w:bottom w:val="nil"/>
              <w:right w:val="nil"/>
            </w:tcBorders>
            <w:vAlign w:val="bottom"/>
          </w:tcPr>
          <w:p w14:paraId="4CC031AF"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Coefficient</w:t>
            </w:r>
          </w:p>
        </w:tc>
        <w:tc>
          <w:tcPr>
            <w:tcW w:w="810" w:type="dxa"/>
            <w:gridSpan w:val="2"/>
            <w:tcBorders>
              <w:top w:val="nil"/>
              <w:left w:val="nil"/>
              <w:bottom w:val="nil"/>
              <w:right w:val="nil"/>
            </w:tcBorders>
            <w:vAlign w:val="bottom"/>
          </w:tcPr>
          <w:p w14:paraId="043EED6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Std. Error</w:t>
            </w:r>
          </w:p>
        </w:tc>
        <w:tc>
          <w:tcPr>
            <w:tcW w:w="787" w:type="dxa"/>
            <w:tcBorders>
              <w:top w:val="nil"/>
              <w:left w:val="nil"/>
              <w:bottom w:val="nil"/>
              <w:right w:val="nil"/>
            </w:tcBorders>
            <w:vAlign w:val="bottom"/>
          </w:tcPr>
          <w:p w14:paraId="7D255DC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t-Statistic</w:t>
            </w:r>
          </w:p>
        </w:tc>
        <w:tc>
          <w:tcPr>
            <w:tcW w:w="630" w:type="dxa"/>
            <w:gridSpan w:val="2"/>
            <w:tcBorders>
              <w:top w:val="nil"/>
              <w:left w:val="nil"/>
              <w:bottom w:val="nil"/>
              <w:right w:val="nil"/>
            </w:tcBorders>
            <w:vAlign w:val="bottom"/>
          </w:tcPr>
          <w:p w14:paraId="1D8C913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Prob.  </w:t>
            </w:r>
          </w:p>
        </w:tc>
      </w:tr>
      <w:tr w:rsidR="005045F1" w:rsidRPr="007F2A3E" w14:paraId="55D466DC" w14:textId="77777777" w:rsidTr="0096540E">
        <w:trPr>
          <w:trHeight w:hRule="exact" w:val="90"/>
        </w:trPr>
        <w:tc>
          <w:tcPr>
            <w:tcW w:w="1590" w:type="dxa"/>
            <w:tcBorders>
              <w:top w:val="nil"/>
              <w:left w:val="nil"/>
              <w:bottom w:val="double" w:sz="6" w:space="2" w:color="auto"/>
              <w:right w:val="nil"/>
            </w:tcBorders>
            <w:vAlign w:val="bottom"/>
          </w:tcPr>
          <w:p w14:paraId="10EB75D1"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33" w:type="dxa"/>
            <w:gridSpan w:val="2"/>
            <w:tcBorders>
              <w:top w:val="nil"/>
              <w:left w:val="nil"/>
              <w:bottom w:val="double" w:sz="6" w:space="2" w:color="auto"/>
              <w:right w:val="nil"/>
            </w:tcBorders>
            <w:vAlign w:val="bottom"/>
          </w:tcPr>
          <w:p w14:paraId="341399BC"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double" w:sz="6" w:space="2" w:color="auto"/>
              <w:right w:val="nil"/>
            </w:tcBorders>
            <w:vAlign w:val="bottom"/>
          </w:tcPr>
          <w:p w14:paraId="6EFD8DB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double" w:sz="6" w:space="2" w:color="auto"/>
              <w:right w:val="nil"/>
            </w:tcBorders>
            <w:vAlign w:val="bottom"/>
          </w:tcPr>
          <w:p w14:paraId="1032D68A"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double" w:sz="6" w:space="2" w:color="auto"/>
              <w:right w:val="nil"/>
            </w:tcBorders>
            <w:vAlign w:val="bottom"/>
          </w:tcPr>
          <w:p w14:paraId="095D2801"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7C309096" w14:textId="77777777" w:rsidTr="0096540E">
        <w:trPr>
          <w:trHeight w:hRule="exact" w:val="135"/>
        </w:trPr>
        <w:tc>
          <w:tcPr>
            <w:tcW w:w="1590" w:type="dxa"/>
            <w:tcBorders>
              <w:top w:val="nil"/>
              <w:left w:val="nil"/>
              <w:bottom w:val="nil"/>
              <w:right w:val="nil"/>
            </w:tcBorders>
            <w:vAlign w:val="bottom"/>
          </w:tcPr>
          <w:p w14:paraId="507ADE1D"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33" w:type="dxa"/>
            <w:gridSpan w:val="2"/>
            <w:tcBorders>
              <w:top w:val="nil"/>
              <w:left w:val="nil"/>
              <w:bottom w:val="nil"/>
              <w:right w:val="nil"/>
            </w:tcBorders>
            <w:vAlign w:val="bottom"/>
          </w:tcPr>
          <w:p w14:paraId="14A7D05C"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nil"/>
              <w:right w:val="nil"/>
            </w:tcBorders>
            <w:vAlign w:val="bottom"/>
          </w:tcPr>
          <w:p w14:paraId="04F11A63"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nil"/>
              <w:right w:val="nil"/>
            </w:tcBorders>
            <w:vAlign w:val="bottom"/>
          </w:tcPr>
          <w:p w14:paraId="308E0DF3"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54B9EFC7"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68551E20" w14:textId="77777777" w:rsidTr="0096540E">
        <w:trPr>
          <w:trHeight w:val="225"/>
        </w:trPr>
        <w:tc>
          <w:tcPr>
            <w:tcW w:w="1590" w:type="dxa"/>
            <w:tcBorders>
              <w:top w:val="nil"/>
              <w:left w:val="nil"/>
              <w:bottom w:val="nil"/>
              <w:right w:val="nil"/>
            </w:tcBorders>
            <w:vAlign w:val="bottom"/>
          </w:tcPr>
          <w:p w14:paraId="6E27CEE3"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C</w:t>
            </w:r>
          </w:p>
        </w:tc>
        <w:tc>
          <w:tcPr>
            <w:tcW w:w="833" w:type="dxa"/>
            <w:gridSpan w:val="2"/>
            <w:tcBorders>
              <w:top w:val="nil"/>
              <w:left w:val="nil"/>
              <w:bottom w:val="nil"/>
              <w:right w:val="nil"/>
            </w:tcBorders>
            <w:vAlign w:val="bottom"/>
          </w:tcPr>
          <w:p w14:paraId="0838D92C"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1.385980</w:t>
            </w:r>
          </w:p>
        </w:tc>
        <w:tc>
          <w:tcPr>
            <w:tcW w:w="810" w:type="dxa"/>
            <w:gridSpan w:val="2"/>
            <w:tcBorders>
              <w:top w:val="nil"/>
              <w:left w:val="nil"/>
              <w:bottom w:val="nil"/>
              <w:right w:val="nil"/>
            </w:tcBorders>
            <w:vAlign w:val="bottom"/>
          </w:tcPr>
          <w:p w14:paraId="07F02675"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0.141310</w:t>
            </w:r>
          </w:p>
        </w:tc>
        <w:tc>
          <w:tcPr>
            <w:tcW w:w="787" w:type="dxa"/>
            <w:tcBorders>
              <w:top w:val="nil"/>
              <w:left w:val="nil"/>
              <w:bottom w:val="nil"/>
              <w:right w:val="nil"/>
            </w:tcBorders>
            <w:vAlign w:val="bottom"/>
          </w:tcPr>
          <w:p w14:paraId="23001632"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9.808076</w:t>
            </w:r>
          </w:p>
        </w:tc>
        <w:tc>
          <w:tcPr>
            <w:tcW w:w="630" w:type="dxa"/>
            <w:gridSpan w:val="2"/>
            <w:tcBorders>
              <w:top w:val="nil"/>
              <w:left w:val="nil"/>
              <w:bottom w:val="nil"/>
              <w:right w:val="nil"/>
            </w:tcBorders>
            <w:vAlign w:val="bottom"/>
          </w:tcPr>
          <w:p w14:paraId="55603EC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0.0000</w:t>
            </w:r>
          </w:p>
        </w:tc>
      </w:tr>
      <w:tr w:rsidR="005045F1" w:rsidRPr="007F2A3E" w14:paraId="59E62453" w14:textId="77777777" w:rsidTr="0096540E">
        <w:trPr>
          <w:trHeight w:val="225"/>
        </w:trPr>
        <w:tc>
          <w:tcPr>
            <w:tcW w:w="1590" w:type="dxa"/>
            <w:tcBorders>
              <w:top w:val="nil"/>
              <w:left w:val="nil"/>
              <w:bottom w:val="nil"/>
              <w:right w:val="nil"/>
            </w:tcBorders>
            <w:vAlign w:val="bottom"/>
          </w:tcPr>
          <w:p w14:paraId="2471968E"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FG?</w:t>
            </w:r>
          </w:p>
        </w:tc>
        <w:tc>
          <w:tcPr>
            <w:tcW w:w="833" w:type="dxa"/>
            <w:gridSpan w:val="2"/>
            <w:tcBorders>
              <w:top w:val="nil"/>
              <w:left w:val="nil"/>
              <w:bottom w:val="nil"/>
              <w:right w:val="nil"/>
            </w:tcBorders>
            <w:vAlign w:val="bottom"/>
          </w:tcPr>
          <w:p w14:paraId="34A992C3"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0.038048</w:t>
            </w:r>
          </w:p>
        </w:tc>
        <w:tc>
          <w:tcPr>
            <w:tcW w:w="810" w:type="dxa"/>
            <w:gridSpan w:val="2"/>
            <w:tcBorders>
              <w:top w:val="nil"/>
              <w:left w:val="nil"/>
              <w:bottom w:val="nil"/>
              <w:right w:val="nil"/>
            </w:tcBorders>
            <w:vAlign w:val="bottom"/>
          </w:tcPr>
          <w:p w14:paraId="6870202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0.067914</w:t>
            </w:r>
          </w:p>
        </w:tc>
        <w:tc>
          <w:tcPr>
            <w:tcW w:w="787" w:type="dxa"/>
            <w:tcBorders>
              <w:top w:val="nil"/>
              <w:left w:val="nil"/>
              <w:bottom w:val="nil"/>
              <w:right w:val="nil"/>
            </w:tcBorders>
            <w:vAlign w:val="bottom"/>
          </w:tcPr>
          <w:p w14:paraId="308D4AEF"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0.560235</w:t>
            </w:r>
          </w:p>
        </w:tc>
        <w:tc>
          <w:tcPr>
            <w:tcW w:w="630" w:type="dxa"/>
            <w:gridSpan w:val="2"/>
            <w:tcBorders>
              <w:top w:val="nil"/>
              <w:left w:val="nil"/>
              <w:bottom w:val="nil"/>
              <w:right w:val="nil"/>
            </w:tcBorders>
            <w:vAlign w:val="bottom"/>
          </w:tcPr>
          <w:p w14:paraId="37808E7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0.5761</w:t>
            </w:r>
          </w:p>
        </w:tc>
      </w:tr>
      <w:tr w:rsidR="005045F1" w:rsidRPr="007F2A3E" w14:paraId="2B5C6382" w14:textId="77777777" w:rsidTr="0096540E">
        <w:trPr>
          <w:trHeight w:val="225"/>
        </w:trPr>
        <w:tc>
          <w:tcPr>
            <w:tcW w:w="1590" w:type="dxa"/>
            <w:tcBorders>
              <w:top w:val="nil"/>
              <w:left w:val="nil"/>
              <w:bottom w:val="nil"/>
              <w:right w:val="nil"/>
            </w:tcBorders>
            <w:vAlign w:val="bottom"/>
          </w:tcPr>
          <w:p w14:paraId="6D0C6DB9"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CAR?</w:t>
            </w:r>
          </w:p>
        </w:tc>
        <w:tc>
          <w:tcPr>
            <w:tcW w:w="833" w:type="dxa"/>
            <w:gridSpan w:val="2"/>
            <w:tcBorders>
              <w:top w:val="nil"/>
              <w:left w:val="nil"/>
              <w:bottom w:val="nil"/>
              <w:right w:val="nil"/>
            </w:tcBorders>
            <w:vAlign w:val="bottom"/>
          </w:tcPr>
          <w:p w14:paraId="10DA4FCA"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0.158300</w:t>
            </w:r>
          </w:p>
        </w:tc>
        <w:tc>
          <w:tcPr>
            <w:tcW w:w="810" w:type="dxa"/>
            <w:gridSpan w:val="2"/>
            <w:tcBorders>
              <w:top w:val="nil"/>
              <w:left w:val="nil"/>
              <w:bottom w:val="nil"/>
              <w:right w:val="nil"/>
            </w:tcBorders>
            <w:vAlign w:val="bottom"/>
          </w:tcPr>
          <w:p w14:paraId="2233BC5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0.195632</w:t>
            </w:r>
          </w:p>
        </w:tc>
        <w:tc>
          <w:tcPr>
            <w:tcW w:w="787" w:type="dxa"/>
            <w:tcBorders>
              <w:top w:val="nil"/>
              <w:left w:val="nil"/>
              <w:bottom w:val="nil"/>
              <w:right w:val="nil"/>
            </w:tcBorders>
            <w:vAlign w:val="bottom"/>
          </w:tcPr>
          <w:p w14:paraId="35CD4C25"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0.809171</w:t>
            </w:r>
          </w:p>
        </w:tc>
        <w:tc>
          <w:tcPr>
            <w:tcW w:w="630" w:type="dxa"/>
            <w:gridSpan w:val="2"/>
            <w:tcBorders>
              <w:top w:val="nil"/>
              <w:left w:val="nil"/>
              <w:bottom w:val="nil"/>
              <w:right w:val="nil"/>
            </w:tcBorders>
            <w:vAlign w:val="bottom"/>
          </w:tcPr>
          <w:p w14:paraId="1FEEE88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0.4197</w:t>
            </w:r>
          </w:p>
        </w:tc>
      </w:tr>
      <w:tr w:rsidR="005045F1" w:rsidRPr="007F2A3E" w14:paraId="23BB97B1" w14:textId="77777777" w:rsidTr="0096540E">
        <w:trPr>
          <w:trHeight w:val="225"/>
        </w:trPr>
        <w:tc>
          <w:tcPr>
            <w:tcW w:w="1590" w:type="dxa"/>
            <w:tcBorders>
              <w:top w:val="nil"/>
              <w:left w:val="nil"/>
              <w:bottom w:val="nil"/>
              <w:right w:val="nil"/>
            </w:tcBorders>
            <w:vAlign w:val="bottom"/>
          </w:tcPr>
          <w:p w14:paraId="1262367D"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NPL?</w:t>
            </w:r>
          </w:p>
        </w:tc>
        <w:tc>
          <w:tcPr>
            <w:tcW w:w="833" w:type="dxa"/>
            <w:gridSpan w:val="2"/>
            <w:tcBorders>
              <w:top w:val="nil"/>
              <w:left w:val="nil"/>
              <w:bottom w:val="nil"/>
              <w:right w:val="nil"/>
            </w:tcBorders>
            <w:vAlign w:val="bottom"/>
          </w:tcPr>
          <w:p w14:paraId="5CD11F1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-0.413841</w:t>
            </w:r>
          </w:p>
        </w:tc>
        <w:tc>
          <w:tcPr>
            <w:tcW w:w="810" w:type="dxa"/>
            <w:gridSpan w:val="2"/>
            <w:tcBorders>
              <w:top w:val="nil"/>
              <w:left w:val="nil"/>
              <w:bottom w:val="nil"/>
              <w:right w:val="nil"/>
            </w:tcBorders>
            <w:vAlign w:val="bottom"/>
          </w:tcPr>
          <w:p w14:paraId="5DA2B2B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0.189829</w:t>
            </w:r>
          </w:p>
        </w:tc>
        <w:tc>
          <w:tcPr>
            <w:tcW w:w="787" w:type="dxa"/>
            <w:tcBorders>
              <w:top w:val="nil"/>
              <w:left w:val="nil"/>
              <w:bottom w:val="nil"/>
              <w:right w:val="nil"/>
            </w:tcBorders>
            <w:vAlign w:val="bottom"/>
          </w:tcPr>
          <w:p w14:paraId="45AEC58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-2.180071</w:t>
            </w:r>
          </w:p>
        </w:tc>
        <w:tc>
          <w:tcPr>
            <w:tcW w:w="630" w:type="dxa"/>
            <w:gridSpan w:val="2"/>
            <w:tcBorders>
              <w:top w:val="nil"/>
              <w:left w:val="nil"/>
              <w:bottom w:val="nil"/>
              <w:right w:val="nil"/>
            </w:tcBorders>
            <w:vAlign w:val="bottom"/>
          </w:tcPr>
          <w:p w14:paraId="5CDCF54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0.0308</w:t>
            </w:r>
          </w:p>
        </w:tc>
      </w:tr>
      <w:tr w:rsidR="005045F1" w:rsidRPr="007F2A3E" w14:paraId="00DB979E" w14:textId="77777777" w:rsidTr="0096540E">
        <w:trPr>
          <w:trHeight w:val="225"/>
        </w:trPr>
        <w:tc>
          <w:tcPr>
            <w:tcW w:w="1590" w:type="dxa"/>
            <w:tcBorders>
              <w:top w:val="nil"/>
              <w:left w:val="nil"/>
              <w:bottom w:val="nil"/>
              <w:right w:val="nil"/>
            </w:tcBorders>
            <w:vAlign w:val="bottom"/>
          </w:tcPr>
          <w:p w14:paraId="6EB7196B"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LDR?</w:t>
            </w:r>
          </w:p>
        </w:tc>
        <w:tc>
          <w:tcPr>
            <w:tcW w:w="833" w:type="dxa"/>
            <w:gridSpan w:val="2"/>
            <w:tcBorders>
              <w:top w:val="nil"/>
              <w:left w:val="nil"/>
              <w:bottom w:val="nil"/>
              <w:right w:val="nil"/>
            </w:tcBorders>
            <w:vAlign w:val="bottom"/>
          </w:tcPr>
          <w:p w14:paraId="01571FF3"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-0.065455</w:t>
            </w:r>
          </w:p>
        </w:tc>
        <w:tc>
          <w:tcPr>
            <w:tcW w:w="810" w:type="dxa"/>
            <w:gridSpan w:val="2"/>
            <w:tcBorders>
              <w:top w:val="nil"/>
              <w:left w:val="nil"/>
              <w:bottom w:val="nil"/>
              <w:right w:val="nil"/>
            </w:tcBorders>
            <w:vAlign w:val="bottom"/>
          </w:tcPr>
          <w:p w14:paraId="06716D5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0.052682</w:t>
            </w:r>
          </w:p>
        </w:tc>
        <w:tc>
          <w:tcPr>
            <w:tcW w:w="787" w:type="dxa"/>
            <w:tcBorders>
              <w:top w:val="nil"/>
              <w:left w:val="nil"/>
              <w:bottom w:val="nil"/>
              <w:right w:val="nil"/>
            </w:tcBorders>
            <w:vAlign w:val="bottom"/>
          </w:tcPr>
          <w:p w14:paraId="487C880F"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-1.242457</w:t>
            </w:r>
          </w:p>
        </w:tc>
        <w:tc>
          <w:tcPr>
            <w:tcW w:w="630" w:type="dxa"/>
            <w:gridSpan w:val="2"/>
            <w:tcBorders>
              <w:top w:val="nil"/>
              <w:left w:val="nil"/>
              <w:bottom w:val="nil"/>
              <w:right w:val="nil"/>
            </w:tcBorders>
            <w:vAlign w:val="bottom"/>
          </w:tcPr>
          <w:p w14:paraId="6C7C8A8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0.2160</w:t>
            </w:r>
          </w:p>
        </w:tc>
      </w:tr>
      <w:tr w:rsidR="005045F1" w:rsidRPr="007F2A3E" w14:paraId="6EA5C11D" w14:textId="77777777" w:rsidTr="0096540E">
        <w:trPr>
          <w:trHeight w:val="225"/>
        </w:trPr>
        <w:tc>
          <w:tcPr>
            <w:tcW w:w="1590" w:type="dxa"/>
            <w:tcBorders>
              <w:top w:val="nil"/>
              <w:left w:val="nil"/>
              <w:bottom w:val="nil"/>
              <w:right w:val="nil"/>
            </w:tcBorders>
            <w:vAlign w:val="bottom"/>
          </w:tcPr>
          <w:p w14:paraId="035446F8"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BOPO?</w:t>
            </w:r>
          </w:p>
        </w:tc>
        <w:tc>
          <w:tcPr>
            <w:tcW w:w="833" w:type="dxa"/>
            <w:gridSpan w:val="2"/>
            <w:tcBorders>
              <w:top w:val="nil"/>
              <w:left w:val="nil"/>
              <w:bottom w:val="nil"/>
              <w:right w:val="nil"/>
            </w:tcBorders>
            <w:vAlign w:val="bottom"/>
          </w:tcPr>
          <w:p w14:paraId="53333EE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-0.036387</w:t>
            </w:r>
          </w:p>
        </w:tc>
        <w:tc>
          <w:tcPr>
            <w:tcW w:w="810" w:type="dxa"/>
            <w:gridSpan w:val="2"/>
            <w:tcBorders>
              <w:top w:val="nil"/>
              <w:left w:val="nil"/>
              <w:bottom w:val="nil"/>
              <w:right w:val="nil"/>
            </w:tcBorders>
            <w:vAlign w:val="bottom"/>
          </w:tcPr>
          <w:p w14:paraId="7001331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0.200432</w:t>
            </w:r>
          </w:p>
        </w:tc>
        <w:tc>
          <w:tcPr>
            <w:tcW w:w="787" w:type="dxa"/>
            <w:tcBorders>
              <w:top w:val="nil"/>
              <w:left w:val="nil"/>
              <w:bottom w:val="nil"/>
              <w:right w:val="nil"/>
            </w:tcBorders>
            <w:vAlign w:val="bottom"/>
          </w:tcPr>
          <w:p w14:paraId="7910EA2A"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-0.181543</w:t>
            </w:r>
          </w:p>
        </w:tc>
        <w:tc>
          <w:tcPr>
            <w:tcW w:w="630" w:type="dxa"/>
            <w:gridSpan w:val="2"/>
            <w:tcBorders>
              <w:top w:val="nil"/>
              <w:left w:val="nil"/>
              <w:bottom w:val="nil"/>
              <w:right w:val="nil"/>
            </w:tcBorders>
            <w:vAlign w:val="bottom"/>
          </w:tcPr>
          <w:p w14:paraId="18F4491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0.8562</w:t>
            </w:r>
          </w:p>
        </w:tc>
      </w:tr>
      <w:tr w:rsidR="005045F1" w:rsidRPr="007F2A3E" w14:paraId="646984B3" w14:textId="77777777" w:rsidTr="0096540E">
        <w:trPr>
          <w:trHeight w:val="225"/>
        </w:trPr>
        <w:tc>
          <w:tcPr>
            <w:tcW w:w="1590" w:type="dxa"/>
            <w:tcBorders>
              <w:top w:val="nil"/>
              <w:left w:val="nil"/>
              <w:bottom w:val="nil"/>
              <w:right w:val="nil"/>
            </w:tcBorders>
            <w:vAlign w:val="bottom"/>
          </w:tcPr>
          <w:p w14:paraId="67EE5EBB"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DG?</w:t>
            </w:r>
          </w:p>
        </w:tc>
        <w:tc>
          <w:tcPr>
            <w:tcW w:w="833" w:type="dxa"/>
            <w:gridSpan w:val="2"/>
            <w:tcBorders>
              <w:top w:val="nil"/>
              <w:left w:val="nil"/>
              <w:bottom w:val="nil"/>
              <w:right w:val="nil"/>
            </w:tcBorders>
            <w:vAlign w:val="bottom"/>
          </w:tcPr>
          <w:p w14:paraId="3EB52D0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1.473858</w:t>
            </w:r>
          </w:p>
        </w:tc>
        <w:tc>
          <w:tcPr>
            <w:tcW w:w="810" w:type="dxa"/>
            <w:gridSpan w:val="2"/>
            <w:tcBorders>
              <w:top w:val="nil"/>
              <w:left w:val="nil"/>
              <w:bottom w:val="nil"/>
              <w:right w:val="nil"/>
            </w:tcBorders>
            <w:vAlign w:val="bottom"/>
          </w:tcPr>
          <w:p w14:paraId="478D8AD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0.860555</w:t>
            </w:r>
          </w:p>
        </w:tc>
        <w:tc>
          <w:tcPr>
            <w:tcW w:w="787" w:type="dxa"/>
            <w:tcBorders>
              <w:top w:val="nil"/>
              <w:left w:val="nil"/>
              <w:bottom w:val="nil"/>
              <w:right w:val="nil"/>
            </w:tcBorders>
            <w:vAlign w:val="bottom"/>
          </w:tcPr>
          <w:p w14:paraId="1C14020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1.712683</w:t>
            </w:r>
          </w:p>
        </w:tc>
        <w:tc>
          <w:tcPr>
            <w:tcW w:w="630" w:type="dxa"/>
            <w:gridSpan w:val="2"/>
            <w:tcBorders>
              <w:top w:val="nil"/>
              <w:left w:val="nil"/>
              <w:bottom w:val="nil"/>
              <w:right w:val="nil"/>
            </w:tcBorders>
            <w:vAlign w:val="bottom"/>
          </w:tcPr>
          <w:p w14:paraId="469F32B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0.0888</w:t>
            </w:r>
          </w:p>
        </w:tc>
      </w:tr>
      <w:tr w:rsidR="005045F1" w:rsidRPr="007F2A3E" w14:paraId="1E07CA6B" w14:textId="77777777" w:rsidTr="0096540E">
        <w:trPr>
          <w:trHeight w:val="225"/>
        </w:trPr>
        <w:tc>
          <w:tcPr>
            <w:tcW w:w="1590" w:type="dxa"/>
            <w:tcBorders>
              <w:top w:val="nil"/>
              <w:left w:val="nil"/>
              <w:bottom w:val="nil"/>
              <w:right w:val="nil"/>
            </w:tcBorders>
            <w:vAlign w:val="bottom"/>
          </w:tcPr>
          <w:p w14:paraId="3F14A849"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ROA?</w:t>
            </w:r>
          </w:p>
        </w:tc>
        <w:tc>
          <w:tcPr>
            <w:tcW w:w="833" w:type="dxa"/>
            <w:gridSpan w:val="2"/>
            <w:tcBorders>
              <w:top w:val="nil"/>
              <w:left w:val="nil"/>
              <w:bottom w:val="nil"/>
              <w:right w:val="nil"/>
            </w:tcBorders>
            <w:vAlign w:val="bottom"/>
          </w:tcPr>
          <w:p w14:paraId="1688C985"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0.075268</w:t>
            </w:r>
          </w:p>
        </w:tc>
        <w:tc>
          <w:tcPr>
            <w:tcW w:w="810" w:type="dxa"/>
            <w:gridSpan w:val="2"/>
            <w:tcBorders>
              <w:top w:val="nil"/>
              <w:left w:val="nil"/>
              <w:bottom w:val="nil"/>
              <w:right w:val="nil"/>
            </w:tcBorders>
            <w:vAlign w:val="bottom"/>
          </w:tcPr>
          <w:p w14:paraId="18A7B45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0.229370</w:t>
            </w:r>
          </w:p>
        </w:tc>
        <w:tc>
          <w:tcPr>
            <w:tcW w:w="787" w:type="dxa"/>
            <w:tcBorders>
              <w:top w:val="nil"/>
              <w:left w:val="nil"/>
              <w:bottom w:val="nil"/>
              <w:right w:val="nil"/>
            </w:tcBorders>
            <w:vAlign w:val="bottom"/>
          </w:tcPr>
          <w:p w14:paraId="74BED402"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0.328149</w:t>
            </w:r>
          </w:p>
        </w:tc>
        <w:tc>
          <w:tcPr>
            <w:tcW w:w="630" w:type="dxa"/>
            <w:gridSpan w:val="2"/>
            <w:tcBorders>
              <w:top w:val="nil"/>
              <w:left w:val="nil"/>
              <w:bottom w:val="nil"/>
              <w:right w:val="nil"/>
            </w:tcBorders>
            <w:vAlign w:val="bottom"/>
          </w:tcPr>
          <w:p w14:paraId="57D83F7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0.7432</w:t>
            </w:r>
          </w:p>
        </w:tc>
      </w:tr>
      <w:tr w:rsidR="005045F1" w:rsidRPr="007F2A3E" w14:paraId="098D6029" w14:textId="77777777" w:rsidTr="0096540E">
        <w:trPr>
          <w:trHeight w:val="225"/>
        </w:trPr>
        <w:tc>
          <w:tcPr>
            <w:tcW w:w="1590" w:type="dxa"/>
            <w:tcBorders>
              <w:top w:val="nil"/>
              <w:left w:val="nil"/>
              <w:bottom w:val="nil"/>
              <w:right w:val="nil"/>
            </w:tcBorders>
            <w:vAlign w:val="bottom"/>
          </w:tcPr>
          <w:p w14:paraId="2BED2CF6"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Random Effects (Cross)</w:t>
            </w:r>
          </w:p>
        </w:tc>
        <w:tc>
          <w:tcPr>
            <w:tcW w:w="833" w:type="dxa"/>
            <w:gridSpan w:val="2"/>
            <w:tcBorders>
              <w:top w:val="nil"/>
              <w:left w:val="nil"/>
              <w:bottom w:val="nil"/>
              <w:right w:val="nil"/>
            </w:tcBorders>
            <w:vAlign w:val="bottom"/>
          </w:tcPr>
          <w:p w14:paraId="44E294C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nil"/>
              <w:right w:val="nil"/>
            </w:tcBorders>
            <w:vAlign w:val="bottom"/>
          </w:tcPr>
          <w:p w14:paraId="4372BE6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nil"/>
              <w:right w:val="nil"/>
            </w:tcBorders>
            <w:vAlign w:val="bottom"/>
          </w:tcPr>
          <w:p w14:paraId="240072E1"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4043F150"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6CC30915" w14:textId="77777777" w:rsidTr="0096540E">
        <w:trPr>
          <w:trHeight w:val="225"/>
        </w:trPr>
        <w:tc>
          <w:tcPr>
            <w:tcW w:w="1590" w:type="dxa"/>
            <w:tcBorders>
              <w:top w:val="nil"/>
              <w:left w:val="nil"/>
              <w:bottom w:val="nil"/>
              <w:right w:val="nil"/>
            </w:tcBorders>
            <w:vAlign w:val="bottom"/>
          </w:tcPr>
          <w:p w14:paraId="0FAEAD0F"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_BBCA--C</w:t>
            </w:r>
          </w:p>
        </w:tc>
        <w:tc>
          <w:tcPr>
            <w:tcW w:w="833" w:type="dxa"/>
            <w:gridSpan w:val="2"/>
            <w:tcBorders>
              <w:top w:val="nil"/>
              <w:left w:val="nil"/>
              <w:bottom w:val="nil"/>
              <w:right w:val="nil"/>
            </w:tcBorders>
            <w:vAlign w:val="bottom"/>
          </w:tcPr>
          <w:p w14:paraId="3B31D9B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0.208528</w:t>
            </w:r>
          </w:p>
        </w:tc>
        <w:tc>
          <w:tcPr>
            <w:tcW w:w="810" w:type="dxa"/>
            <w:gridSpan w:val="2"/>
            <w:tcBorders>
              <w:top w:val="nil"/>
              <w:left w:val="nil"/>
              <w:bottom w:val="nil"/>
              <w:right w:val="nil"/>
            </w:tcBorders>
            <w:vAlign w:val="bottom"/>
          </w:tcPr>
          <w:p w14:paraId="0279FCF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1CEABED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74A8048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231E7F8F" w14:textId="77777777" w:rsidTr="0096540E">
        <w:trPr>
          <w:trHeight w:val="225"/>
        </w:trPr>
        <w:tc>
          <w:tcPr>
            <w:tcW w:w="1590" w:type="dxa"/>
            <w:tcBorders>
              <w:top w:val="nil"/>
              <w:left w:val="nil"/>
              <w:bottom w:val="nil"/>
              <w:right w:val="nil"/>
            </w:tcBorders>
            <w:vAlign w:val="bottom"/>
          </w:tcPr>
          <w:p w14:paraId="11405AA6"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_BMRI--C</w:t>
            </w:r>
          </w:p>
        </w:tc>
        <w:tc>
          <w:tcPr>
            <w:tcW w:w="833" w:type="dxa"/>
            <w:gridSpan w:val="2"/>
            <w:tcBorders>
              <w:top w:val="nil"/>
              <w:left w:val="nil"/>
              <w:bottom w:val="nil"/>
              <w:right w:val="nil"/>
            </w:tcBorders>
            <w:vAlign w:val="bottom"/>
          </w:tcPr>
          <w:p w14:paraId="6CE25B0F"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0.046539</w:t>
            </w:r>
          </w:p>
        </w:tc>
        <w:tc>
          <w:tcPr>
            <w:tcW w:w="810" w:type="dxa"/>
            <w:gridSpan w:val="2"/>
            <w:tcBorders>
              <w:top w:val="nil"/>
              <w:left w:val="nil"/>
              <w:bottom w:val="nil"/>
              <w:right w:val="nil"/>
            </w:tcBorders>
            <w:vAlign w:val="bottom"/>
          </w:tcPr>
          <w:p w14:paraId="42CC369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2F57780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49A391D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621F4B35" w14:textId="77777777" w:rsidTr="0096540E">
        <w:trPr>
          <w:trHeight w:val="225"/>
        </w:trPr>
        <w:tc>
          <w:tcPr>
            <w:tcW w:w="1590" w:type="dxa"/>
            <w:tcBorders>
              <w:top w:val="nil"/>
              <w:left w:val="nil"/>
              <w:bottom w:val="nil"/>
              <w:right w:val="nil"/>
            </w:tcBorders>
            <w:vAlign w:val="bottom"/>
          </w:tcPr>
          <w:p w14:paraId="641048FE"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_BBRI--C</w:t>
            </w:r>
          </w:p>
        </w:tc>
        <w:tc>
          <w:tcPr>
            <w:tcW w:w="833" w:type="dxa"/>
            <w:gridSpan w:val="2"/>
            <w:tcBorders>
              <w:top w:val="nil"/>
              <w:left w:val="nil"/>
              <w:bottom w:val="nil"/>
              <w:right w:val="nil"/>
            </w:tcBorders>
            <w:vAlign w:val="bottom"/>
          </w:tcPr>
          <w:p w14:paraId="5FCD336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0.074413</w:t>
            </w:r>
          </w:p>
        </w:tc>
        <w:tc>
          <w:tcPr>
            <w:tcW w:w="810" w:type="dxa"/>
            <w:gridSpan w:val="2"/>
            <w:tcBorders>
              <w:top w:val="nil"/>
              <w:left w:val="nil"/>
              <w:bottom w:val="nil"/>
              <w:right w:val="nil"/>
            </w:tcBorders>
            <w:vAlign w:val="bottom"/>
          </w:tcPr>
          <w:p w14:paraId="5E38FAC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4AF9D61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6D97583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119DE15E" w14:textId="77777777" w:rsidTr="0096540E">
        <w:trPr>
          <w:trHeight w:val="225"/>
        </w:trPr>
        <w:tc>
          <w:tcPr>
            <w:tcW w:w="1590" w:type="dxa"/>
            <w:tcBorders>
              <w:top w:val="nil"/>
              <w:left w:val="nil"/>
              <w:bottom w:val="nil"/>
              <w:right w:val="nil"/>
            </w:tcBorders>
            <w:vAlign w:val="bottom"/>
          </w:tcPr>
          <w:p w14:paraId="65951063"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_BBNI--C</w:t>
            </w:r>
          </w:p>
        </w:tc>
        <w:tc>
          <w:tcPr>
            <w:tcW w:w="833" w:type="dxa"/>
            <w:gridSpan w:val="2"/>
            <w:tcBorders>
              <w:top w:val="nil"/>
              <w:left w:val="nil"/>
              <w:bottom w:val="nil"/>
              <w:right w:val="nil"/>
            </w:tcBorders>
            <w:vAlign w:val="bottom"/>
          </w:tcPr>
          <w:p w14:paraId="22A2818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-0.004795</w:t>
            </w:r>
          </w:p>
        </w:tc>
        <w:tc>
          <w:tcPr>
            <w:tcW w:w="810" w:type="dxa"/>
            <w:gridSpan w:val="2"/>
            <w:tcBorders>
              <w:top w:val="nil"/>
              <w:left w:val="nil"/>
              <w:bottom w:val="nil"/>
              <w:right w:val="nil"/>
            </w:tcBorders>
            <w:vAlign w:val="bottom"/>
          </w:tcPr>
          <w:p w14:paraId="4F4FF08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48CB7F1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41D7DF4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7A8CFF35" w14:textId="77777777" w:rsidTr="0096540E">
        <w:trPr>
          <w:trHeight w:val="225"/>
        </w:trPr>
        <w:tc>
          <w:tcPr>
            <w:tcW w:w="1590" w:type="dxa"/>
            <w:tcBorders>
              <w:top w:val="nil"/>
              <w:left w:val="nil"/>
              <w:bottom w:val="nil"/>
              <w:right w:val="nil"/>
            </w:tcBorders>
            <w:vAlign w:val="bottom"/>
          </w:tcPr>
          <w:p w14:paraId="70DB9190"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_BDMN--C</w:t>
            </w:r>
          </w:p>
        </w:tc>
        <w:tc>
          <w:tcPr>
            <w:tcW w:w="833" w:type="dxa"/>
            <w:gridSpan w:val="2"/>
            <w:tcBorders>
              <w:top w:val="nil"/>
              <w:left w:val="nil"/>
              <w:bottom w:val="nil"/>
              <w:right w:val="nil"/>
            </w:tcBorders>
            <w:vAlign w:val="bottom"/>
          </w:tcPr>
          <w:p w14:paraId="326C26E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0.066273</w:t>
            </w:r>
          </w:p>
        </w:tc>
        <w:tc>
          <w:tcPr>
            <w:tcW w:w="810" w:type="dxa"/>
            <w:gridSpan w:val="2"/>
            <w:tcBorders>
              <w:top w:val="nil"/>
              <w:left w:val="nil"/>
              <w:bottom w:val="nil"/>
              <w:right w:val="nil"/>
            </w:tcBorders>
            <w:vAlign w:val="bottom"/>
          </w:tcPr>
          <w:p w14:paraId="7A1DC48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63099A5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02726B5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3C67A8ED" w14:textId="77777777" w:rsidTr="0096540E">
        <w:trPr>
          <w:trHeight w:val="225"/>
        </w:trPr>
        <w:tc>
          <w:tcPr>
            <w:tcW w:w="1590" w:type="dxa"/>
            <w:tcBorders>
              <w:top w:val="nil"/>
              <w:left w:val="nil"/>
              <w:bottom w:val="nil"/>
              <w:right w:val="nil"/>
            </w:tcBorders>
            <w:vAlign w:val="bottom"/>
          </w:tcPr>
          <w:p w14:paraId="0E279835"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_BTPN--C</w:t>
            </w:r>
          </w:p>
        </w:tc>
        <w:tc>
          <w:tcPr>
            <w:tcW w:w="833" w:type="dxa"/>
            <w:gridSpan w:val="2"/>
            <w:tcBorders>
              <w:top w:val="nil"/>
              <w:left w:val="nil"/>
              <w:bottom w:val="nil"/>
              <w:right w:val="nil"/>
            </w:tcBorders>
            <w:vAlign w:val="bottom"/>
          </w:tcPr>
          <w:p w14:paraId="2006EEB7"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0.134832</w:t>
            </w:r>
          </w:p>
        </w:tc>
        <w:tc>
          <w:tcPr>
            <w:tcW w:w="810" w:type="dxa"/>
            <w:gridSpan w:val="2"/>
            <w:tcBorders>
              <w:top w:val="nil"/>
              <w:left w:val="nil"/>
              <w:bottom w:val="nil"/>
              <w:right w:val="nil"/>
            </w:tcBorders>
            <w:vAlign w:val="bottom"/>
          </w:tcPr>
          <w:p w14:paraId="4500A49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44B6307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1C6DD3E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70B7801A" w14:textId="77777777" w:rsidTr="0096540E">
        <w:trPr>
          <w:trHeight w:val="225"/>
        </w:trPr>
        <w:tc>
          <w:tcPr>
            <w:tcW w:w="1590" w:type="dxa"/>
            <w:tcBorders>
              <w:top w:val="nil"/>
              <w:left w:val="nil"/>
              <w:bottom w:val="nil"/>
              <w:right w:val="nil"/>
            </w:tcBorders>
            <w:vAlign w:val="bottom"/>
          </w:tcPr>
          <w:p w14:paraId="6FC85BAB"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_BNGA--C</w:t>
            </w:r>
          </w:p>
        </w:tc>
        <w:tc>
          <w:tcPr>
            <w:tcW w:w="833" w:type="dxa"/>
            <w:gridSpan w:val="2"/>
            <w:tcBorders>
              <w:top w:val="nil"/>
              <w:left w:val="nil"/>
              <w:bottom w:val="nil"/>
              <w:right w:val="nil"/>
            </w:tcBorders>
            <w:vAlign w:val="bottom"/>
          </w:tcPr>
          <w:p w14:paraId="7471AB93"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0.005462</w:t>
            </w:r>
          </w:p>
        </w:tc>
        <w:tc>
          <w:tcPr>
            <w:tcW w:w="810" w:type="dxa"/>
            <w:gridSpan w:val="2"/>
            <w:tcBorders>
              <w:top w:val="nil"/>
              <w:left w:val="nil"/>
              <w:bottom w:val="nil"/>
              <w:right w:val="nil"/>
            </w:tcBorders>
            <w:vAlign w:val="bottom"/>
          </w:tcPr>
          <w:p w14:paraId="47D01B5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15B6AD7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1C291FD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186AFB96" w14:textId="77777777" w:rsidTr="0096540E">
        <w:trPr>
          <w:trHeight w:val="225"/>
        </w:trPr>
        <w:tc>
          <w:tcPr>
            <w:tcW w:w="1590" w:type="dxa"/>
            <w:tcBorders>
              <w:top w:val="nil"/>
              <w:left w:val="nil"/>
              <w:bottom w:val="nil"/>
              <w:right w:val="nil"/>
            </w:tcBorders>
            <w:vAlign w:val="bottom"/>
          </w:tcPr>
          <w:p w14:paraId="4ABA4F18"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_BNII--C</w:t>
            </w:r>
          </w:p>
        </w:tc>
        <w:tc>
          <w:tcPr>
            <w:tcW w:w="833" w:type="dxa"/>
            <w:gridSpan w:val="2"/>
            <w:tcBorders>
              <w:top w:val="nil"/>
              <w:left w:val="nil"/>
              <w:bottom w:val="nil"/>
              <w:right w:val="nil"/>
            </w:tcBorders>
            <w:vAlign w:val="bottom"/>
          </w:tcPr>
          <w:p w14:paraId="68792A0D"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0.033155</w:t>
            </w:r>
          </w:p>
        </w:tc>
        <w:tc>
          <w:tcPr>
            <w:tcW w:w="810" w:type="dxa"/>
            <w:gridSpan w:val="2"/>
            <w:tcBorders>
              <w:top w:val="nil"/>
              <w:left w:val="nil"/>
              <w:bottom w:val="nil"/>
              <w:right w:val="nil"/>
            </w:tcBorders>
            <w:vAlign w:val="bottom"/>
          </w:tcPr>
          <w:p w14:paraId="0B4F28D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76DF6E9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74A27B8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3351A5C5" w14:textId="77777777" w:rsidTr="0096540E">
        <w:trPr>
          <w:trHeight w:val="225"/>
        </w:trPr>
        <w:tc>
          <w:tcPr>
            <w:tcW w:w="1590" w:type="dxa"/>
            <w:tcBorders>
              <w:top w:val="nil"/>
              <w:left w:val="nil"/>
              <w:bottom w:val="nil"/>
              <w:right w:val="nil"/>
            </w:tcBorders>
            <w:vAlign w:val="bottom"/>
          </w:tcPr>
          <w:p w14:paraId="5B426CDA"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_PNBN--C</w:t>
            </w:r>
          </w:p>
        </w:tc>
        <w:tc>
          <w:tcPr>
            <w:tcW w:w="833" w:type="dxa"/>
            <w:gridSpan w:val="2"/>
            <w:tcBorders>
              <w:top w:val="nil"/>
              <w:left w:val="nil"/>
              <w:bottom w:val="nil"/>
              <w:right w:val="nil"/>
            </w:tcBorders>
            <w:vAlign w:val="bottom"/>
          </w:tcPr>
          <w:p w14:paraId="1E56CC5A"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-0.026887</w:t>
            </w:r>
          </w:p>
        </w:tc>
        <w:tc>
          <w:tcPr>
            <w:tcW w:w="810" w:type="dxa"/>
            <w:gridSpan w:val="2"/>
            <w:tcBorders>
              <w:top w:val="nil"/>
              <w:left w:val="nil"/>
              <w:bottom w:val="nil"/>
              <w:right w:val="nil"/>
            </w:tcBorders>
            <w:vAlign w:val="bottom"/>
          </w:tcPr>
          <w:p w14:paraId="02EA546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72B5376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2D1C576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4984C5A8" w14:textId="77777777" w:rsidTr="0096540E">
        <w:trPr>
          <w:trHeight w:val="225"/>
        </w:trPr>
        <w:tc>
          <w:tcPr>
            <w:tcW w:w="1590" w:type="dxa"/>
            <w:tcBorders>
              <w:top w:val="nil"/>
              <w:left w:val="nil"/>
              <w:bottom w:val="nil"/>
              <w:right w:val="nil"/>
            </w:tcBorders>
            <w:vAlign w:val="bottom"/>
          </w:tcPr>
          <w:p w14:paraId="5E51358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_MEGA--C</w:t>
            </w:r>
          </w:p>
        </w:tc>
        <w:tc>
          <w:tcPr>
            <w:tcW w:w="833" w:type="dxa"/>
            <w:gridSpan w:val="2"/>
            <w:tcBorders>
              <w:top w:val="nil"/>
              <w:left w:val="nil"/>
              <w:bottom w:val="nil"/>
              <w:right w:val="nil"/>
            </w:tcBorders>
            <w:vAlign w:val="bottom"/>
          </w:tcPr>
          <w:p w14:paraId="6C7E85E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-0.011177</w:t>
            </w:r>
          </w:p>
        </w:tc>
        <w:tc>
          <w:tcPr>
            <w:tcW w:w="810" w:type="dxa"/>
            <w:gridSpan w:val="2"/>
            <w:tcBorders>
              <w:top w:val="nil"/>
              <w:left w:val="nil"/>
              <w:bottom w:val="nil"/>
              <w:right w:val="nil"/>
            </w:tcBorders>
            <w:vAlign w:val="bottom"/>
          </w:tcPr>
          <w:p w14:paraId="4CE2F7C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3A4894F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0D8885E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637FAD14" w14:textId="77777777" w:rsidTr="0096540E">
        <w:trPr>
          <w:trHeight w:val="225"/>
        </w:trPr>
        <w:tc>
          <w:tcPr>
            <w:tcW w:w="1590" w:type="dxa"/>
            <w:tcBorders>
              <w:top w:val="nil"/>
              <w:left w:val="nil"/>
              <w:bottom w:val="nil"/>
              <w:right w:val="nil"/>
            </w:tcBorders>
            <w:vAlign w:val="bottom"/>
          </w:tcPr>
          <w:p w14:paraId="059F8B5C"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_NISP--C</w:t>
            </w:r>
          </w:p>
        </w:tc>
        <w:tc>
          <w:tcPr>
            <w:tcW w:w="833" w:type="dxa"/>
            <w:gridSpan w:val="2"/>
            <w:tcBorders>
              <w:top w:val="nil"/>
              <w:left w:val="nil"/>
              <w:bottom w:val="nil"/>
              <w:right w:val="nil"/>
            </w:tcBorders>
            <w:vAlign w:val="bottom"/>
          </w:tcPr>
          <w:p w14:paraId="54B20D48"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0.026885</w:t>
            </w:r>
          </w:p>
        </w:tc>
        <w:tc>
          <w:tcPr>
            <w:tcW w:w="810" w:type="dxa"/>
            <w:gridSpan w:val="2"/>
            <w:tcBorders>
              <w:top w:val="nil"/>
              <w:left w:val="nil"/>
              <w:bottom w:val="nil"/>
              <w:right w:val="nil"/>
            </w:tcBorders>
            <w:vAlign w:val="bottom"/>
          </w:tcPr>
          <w:p w14:paraId="4DB45A3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1AF6191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6E2D8622"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553DDA81" w14:textId="77777777" w:rsidTr="0096540E">
        <w:trPr>
          <w:trHeight w:val="225"/>
        </w:trPr>
        <w:tc>
          <w:tcPr>
            <w:tcW w:w="1590" w:type="dxa"/>
            <w:tcBorders>
              <w:top w:val="nil"/>
              <w:left w:val="nil"/>
              <w:bottom w:val="nil"/>
              <w:right w:val="nil"/>
            </w:tcBorders>
            <w:vAlign w:val="bottom"/>
          </w:tcPr>
          <w:p w14:paraId="341FB34E"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_BNLI--C</w:t>
            </w:r>
          </w:p>
        </w:tc>
        <w:tc>
          <w:tcPr>
            <w:tcW w:w="833" w:type="dxa"/>
            <w:gridSpan w:val="2"/>
            <w:tcBorders>
              <w:top w:val="nil"/>
              <w:left w:val="nil"/>
              <w:bottom w:val="nil"/>
              <w:right w:val="nil"/>
            </w:tcBorders>
            <w:vAlign w:val="bottom"/>
          </w:tcPr>
          <w:p w14:paraId="3F2E8569"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-0.112065</w:t>
            </w:r>
          </w:p>
        </w:tc>
        <w:tc>
          <w:tcPr>
            <w:tcW w:w="810" w:type="dxa"/>
            <w:gridSpan w:val="2"/>
            <w:tcBorders>
              <w:top w:val="nil"/>
              <w:left w:val="nil"/>
              <w:bottom w:val="nil"/>
              <w:right w:val="nil"/>
            </w:tcBorders>
            <w:vAlign w:val="bottom"/>
          </w:tcPr>
          <w:p w14:paraId="76C0F152"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62F6D15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31CB09A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3C0B615F" w14:textId="77777777" w:rsidTr="0096540E">
        <w:trPr>
          <w:trHeight w:val="225"/>
        </w:trPr>
        <w:tc>
          <w:tcPr>
            <w:tcW w:w="1590" w:type="dxa"/>
            <w:tcBorders>
              <w:top w:val="nil"/>
              <w:left w:val="nil"/>
              <w:bottom w:val="nil"/>
              <w:right w:val="nil"/>
            </w:tcBorders>
            <w:vAlign w:val="bottom"/>
          </w:tcPr>
          <w:p w14:paraId="40F45F5B"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_MAYA--C</w:t>
            </w:r>
          </w:p>
        </w:tc>
        <w:tc>
          <w:tcPr>
            <w:tcW w:w="833" w:type="dxa"/>
            <w:gridSpan w:val="2"/>
            <w:tcBorders>
              <w:top w:val="nil"/>
              <w:left w:val="nil"/>
              <w:bottom w:val="nil"/>
              <w:right w:val="nil"/>
            </w:tcBorders>
            <w:vAlign w:val="bottom"/>
          </w:tcPr>
          <w:p w14:paraId="79FAED63"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0.145756</w:t>
            </w:r>
          </w:p>
        </w:tc>
        <w:tc>
          <w:tcPr>
            <w:tcW w:w="810" w:type="dxa"/>
            <w:gridSpan w:val="2"/>
            <w:tcBorders>
              <w:top w:val="nil"/>
              <w:left w:val="nil"/>
              <w:bottom w:val="nil"/>
              <w:right w:val="nil"/>
            </w:tcBorders>
            <w:vAlign w:val="bottom"/>
          </w:tcPr>
          <w:p w14:paraId="2A71EC2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6F7E1B8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53F368E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3C0BF7A2" w14:textId="77777777" w:rsidTr="0096540E">
        <w:trPr>
          <w:trHeight w:val="225"/>
        </w:trPr>
        <w:tc>
          <w:tcPr>
            <w:tcW w:w="1590" w:type="dxa"/>
            <w:tcBorders>
              <w:top w:val="nil"/>
              <w:left w:val="nil"/>
              <w:bottom w:val="nil"/>
              <w:right w:val="nil"/>
            </w:tcBorders>
            <w:vAlign w:val="bottom"/>
          </w:tcPr>
          <w:p w14:paraId="1BA346FD"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_BBTN--C</w:t>
            </w:r>
          </w:p>
        </w:tc>
        <w:tc>
          <w:tcPr>
            <w:tcW w:w="833" w:type="dxa"/>
            <w:gridSpan w:val="2"/>
            <w:tcBorders>
              <w:top w:val="nil"/>
              <w:left w:val="nil"/>
              <w:bottom w:val="nil"/>
              <w:right w:val="nil"/>
            </w:tcBorders>
            <w:vAlign w:val="bottom"/>
          </w:tcPr>
          <w:p w14:paraId="61E72AB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0.058938</w:t>
            </w:r>
          </w:p>
        </w:tc>
        <w:tc>
          <w:tcPr>
            <w:tcW w:w="810" w:type="dxa"/>
            <w:gridSpan w:val="2"/>
            <w:tcBorders>
              <w:top w:val="nil"/>
              <w:left w:val="nil"/>
              <w:bottom w:val="nil"/>
              <w:right w:val="nil"/>
            </w:tcBorders>
            <w:vAlign w:val="bottom"/>
          </w:tcPr>
          <w:p w14:paraId="7C5E3093"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447A7AE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29C9C15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28E4F102" w14:textId="77777777" w:rsidTr="0096540E">
        <w:trPr>
          <w:trHeight w:val="225"/>
        </w:trPr>
        <w:tc>
          <w:tcPr>
            <w:tcW w:w="1590" w:type="dxa"/>
            <w:tcBorders>
              <w:top w:val="nil"/>
              <w:left w:val="nil"/>
              <w:bottom w:val="nil"/>
              <w:right w:val="nil"/>
            </w:tcBorders>
            <w:vAlign w:val="bottom"/>
          </w:tcPr>
          <w:p w14:paraId="3227DC7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_BKSW--C</w:t>
            </w:r>
          </w:p>
        </w:tc>
        <w:tc>
          <w:tcPr>
            <w:tcW w:w="833" w:type="dxa"/>
            <w:gridSpan w:val="2"/>
            <w:tcBorders>
              <w:top w:val="nil"/>
              <w:left w:val="nil"/>
              <w:bottom w:val="nil"/>
              <w:right w:val="nil"/>
            </w:tcBorders>
            <w:vAlign w:val="bottom"/>
          </w:tcPr>
          <w:p w14:paraId="3E40A5AE"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0.156715</w:t>
            </w:r>
          </w:p>
        </w:tc>
        <w:tc>
          <w:tcPr>
            <w:tcW w:w="810" w:type="dxa"/>
            <w:gridSpan w:val="2"/>
            <w:tcBorders>
              <w:top w:val="nil"/>
              <w:left w:val="nil"/>
              <w:bottom w:val="nil"/>
              <w:right w:val="nil"/>
            </w:tcBorders>
            <w:vAlign w:val="bottom"/>
          </w:tcPr>
          <w:p w14:paraId="5120DAC1"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7474F01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452B4AE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1CEB6477" w14:textId="77777777" w:rsidTr="0096540E">
        <w:trPr>
          <w:trHeight w:val="225"/>
        </w:trPr>
        <w:tc>
          <w:tcPr>
            <w:tcW w:w="1590" w:type="dxa"/>
            <w:tcBorders>
              <w:top w:val="nil"/>
              <w:left w:val="nil"/>
              <w:bottom w:val="nil"/>
              <w:right w:val="nil"/>
            </w:tcBorders>
            <w:vAlign w:val="bottom"/>
          </w:tcPr>
          <w:p w14:paraId="71FEADF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_BBKP--C</w:t>
            </w:r>
          </w:p>
        </w:tc>
        <w:tc>
          <w:tcPr>
            <w:tcW w:w="833" w:type="dxa"/>
            <w:gridSpan w:val="2"/>
            <w:tcBorders>
              <w:top w:val="nil"/>
              <w:left w:val="nil"/>
              <w:bottom w:val="nil"/>
              <w:right w:val="nil"/>
            </w:tcBorders>
            <w:vAlign w:val="bottom"/>
          </w:tcPr>
          <w:p w14:paraId="5263FD0C"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-0.032477</w:t>
            </w:r>
          </w:p>
        </w:tc>
        <w:tc>
          <w:tcPr>
            <w:tcW w:w="810" w:type="dxa"/>
            <w:gridSpan w:val="2"/>
            <w:tcBorders>
              <w:top w:val="nil"/>
              <w:left w:val="nil"/>
              <w:bottom w:val="nil"/>
              <w:right w:val="nil"/>
            </w:tcBorders>
            <w:vAlign w:val="bottom"/>
          </w:tcPr>
          <w:p w14:paraId="60EF90F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619A661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7B4B904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0529B3FE" w14:textId="77777777" w:rsidTr="0096540E">
        <w:trPr>
          <w:trHeight w:val="225"/>
        </w:trPr>
        <w:tc>
          <w:tcPr>
            <w:tcW w:w="1590" w:type="dxa"/>
            <w:tcBorders>
              <w:top w:val="nil"/>
              <w:left w:val="nil"/>
              <w:bottom w:val="nil"/>
              <w:right w:val="nil"/>
            </w:tcBorders>
            <w:vAlign w:val="bottom"/>
          </w:tcPr>
          <w:p w14:paraId="0D79ED32"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_BEKS--C</w:t>
            </w:r>
          </w:p>
        </w:tc>
        <w:tc>
          <w:tcPr>
            <w:tcW w:w="833" w:type="dxa"/>
            <w:gridSpan w:val="2"/>
            <w:tcBorders>
              <w:top w:val="nil"/>
              <w:left w:val="nil"/>
              <w:bottom w:val="nil"/>
              <w:right w:val="nil"/>
            </w:tcBorders>
            <w:vAlign w:val="bottom"/>
          </w:tcPr>
          <w:p w14:paraId="198D40FA"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0.026120</w:t>
            </w:r>
          </w:p>
        </w:tc>
        <w:tc>
          <w:tcPr>
            <w:tcW w:w="810" w:type="dxa"/>
            <w:gridSpan w:val="2"/>
            <w:tcBorders>
              <w:top w:val="nil"/>
              <w:left w:val="nil"/>
              <w:bottom w:val="nil"/>
              <w:right w:val="nil"/>
            </w:tcBorders>
            <w:vAlign w:val="bottom"/>
          </w:tcPr>
          <w:p w14:paraId="5B0277E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08BFDFB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43F766A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41F0BA4F" w14:textId="77777777" w:rsidTr="0096540E">
        <w:trPr>
          <w:trHeight w:val="225"/>
        </w:trPr>
        <w:tc>
          <w:tcPr>
            <w:tcW w:w="1590" w:type="dxa"/>
            <w:tcBorders>
              <w:top w:val="nil"/>
              <w:left w:val="nil"/>
              <w:bottom w:val="nil"/>
              <w:right w:val="nil"/>
            </w:tcBorders>
            <w:vAlign w:val="bottom"/>
          </w:tcPr>
          <w:p w14:paraId="2BEAC7E7"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_BABP--C</w:t>
            </w:r>
          </w:p>
        </w:tc>
        <w:tc>
          <w:tcPr>
            <w:tcW w:w="833" w:type="dxa"/>
            <w:gridSpan w:val="2"/>
            <w:tcBorders>
              <w:top w:val="nil"/>
              <w:left w:val="nil"/>
              <w:bottom w:val="nil"/>
              <w:right w:val="nil"/>
            </w:tcBorders>
            <w:vAlign w:val="bottom"/>
          </w:tcPr>
          <w:p w14:paraId="6903BE5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0.014701</w:t>
            </w:r>
          </w:p>
        </w:tc>
        <w:tc>
          <w:tcPr>
            <w:tcW w:w="810" w:type="dxa"/>
            <w:gridSpan w:val="2"/>
            <w:tcBorders>
              <w:top w:val="nil"/>
              <w:left w:val="nil"/>
              <w:bottom w:val="nil"/>
              <w:right w:val="nil"/>
            </w:tcBorders>
            <w:vAlign w:val="bottom"/>
          </w:tcPr>
          <w:p w14:paraId="4FA9C5C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3F1549A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2EB71D6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4966CF0B" w14:textId="77777777" w:rsidTr="0096540E">
        <w:trPr>
          <w:trHeight w:val="225"/>
        </w:trPr>
        <w:tc>
          <w:tcPr>
            <w:tcW w:w="1590" w:type="dxa"/>
            <w:tcBorders>
              <w:top w:val="nil"/>
              <w:left w:val="nil"/>
              <w:bottom w:val="nil"/>
              <w:right w:val="nil"/>
            </w:tcBorders>
            <w:vAlign w:val="bottom"/>
          </w:tcPr>
          <w:p w14:paraId="4B284F20"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lastRenderedPageBreak/>
              <w:t>_SDRA--C</w:t>
            </w:r>
          </w:p>
        </w:tc>
        <w:tc>
          <w:tcPr>
            <w:tcW w:w="833" w:type="dxa"/>
            <w:gridSpan w:val="2"/>
            <w:tcBorders>
              <w:top w:val="nil"/>
              <w:left w:val="nil"/>
              <w:bottom w:val="nil"/>
              <w:right w:val="nil"/>
            </w:tcBorders>
            <w:vAlign w:val="bottom"/>
          </w:tcPr>
          <w:p w14:paraId="64706413"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-0.120868</w:t>
            </w:r>
          </w:p>
        </w:tc>
        <w:tc>
          <w:tcPr>
            <w:tcW w:w="810" w:type="dxa"/>
            <w:gridSpan w:val="2"/>
            <w:tcBorders>
              <w:top w:val="nil"/>
              <w:left w:val="nil"/>
              <w:bottom w:val="nil"/>
              <w:right w:val="nil"/>
            </w:tcBorders>
            <w:vAlign w:val="bottom"/>
          </w:tcPr>
          <w:p w14:paraId="46BC2AD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3BC4FA5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0EC57D5B"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06752C58" w14:textId="77777777" w:rsidTr="0096540E">
        <w:trPr>
          <w:trHeight w:val="225"/>
        </w:trPr>
        <w:tc>
          <w:tcPr>
            <w:tcW w:w="1590" w:type="dxa"/>
            <w:tcBorders>
              <w:top w:val="nil"/>
              <w:left w:val="nil"/>
              <w:bottom w:val="nil"/>
              <w:right w:val="nil"/>
            </w:tcBorders>
            <w:vAlign w:val="bottom"/>
          </w:tcPr>
          <w:p w14:paraId="0821C1AD"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_BVIC--C</w:t>
            </w:r>
          </w:p>
        </w:tc>
        <w:tc>
          <w:tcPr>
            <w:tcW w:w="833" w:type="dxa"/>
            <w:gridSpan w:val="2"/>
            <w:tcBorders>
              <w:top w:val="nil"/>
              <w:left w:val="nil"/>
              <w:bottom w:val="nil"/>
              <w:right w:val="nil"/>
            </w:tcBorders>
            <w:vAlign w:val="bottom"/>
          </w:tcPr>
          <w:p w14:paraId="120FB3D0"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-0.385412</w:t>
            </w:r>
          </w:p>
        </w:tc>
        <w:tc>
          <w:tcPr>
            <w:tcW w:w="810" w:type="dxa"/>
            <w:gridSpan w:val="2"/>
            <w:tcBorders>
              <w:top w:val="nil"/>
              <w:left w:val="nil"/>
              <w:bottom w:val="nil"/>
              <w:right w:val="nil"/>
            </w:tcBorders>
            <w:vAlign w:val="bottom"/>
          </w:tcPr>
          <w:p w14:paraId="7F71DB3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4DF4F1E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48F1FC9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17C1ACC4" w14:textId="77777777" w:rsidTr="0096540E">
        <w:trPr>
          <w:trHeight w:val="225"/>
        </w:trPr>
        <w:tc>
          <w:tcPr>
            <w:tcW w:w="1590" w:type="dxa"/>
            <w:tcBorders>
              <w:top w:val="nil"/>
              <w:left w:val="nil"/>
              <w:bottom w:val="nil"/>
              <w:right w:val="nil"/>
            </w:tcBorders>
            <w:vAlign w:val="bottom"/>
          </w:tcPr>
          <w:p w14:paraId="5832D182"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_AGRO--C</w:t>
            </w:r>
          </w:p>
        </w:tc>
        <w:tc>
          <w:tcPr>
            <w:tcW w:w="833" w:type="dxa"/>
            <w:gridSpan w:val="2"/>
            <w:tcBorders>
              <w:top w:val="nil"/>
              <w:left w:val="nil"/>
              <w:bottom w:val="nil"/>
              <w:right w:val="nil"/>
            </w:tcBorders>
            <w:vAlign w:val="bottom"/>
          </w:tcPr>
          <w:p w14:paraId="309C422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-0.039159</w:t>
            </w:r>
          </w:p>
        </w:tc>
        <w:tc>
          <w:tcPr>
            <w:tcW w:w="810" w:type="dxa"/>
            <w:gridSpan w:val="2"/>
            <w:tcBorders>
              <w:top w:val="nil"/>
              <w:left w:val="nil"/>
              <w:bottom w:val="nil"/>
              <w:right w:val="nil"/>
            </w:tcBorders>
            <w:vAlign w:val="bottom"/>
          </w:tcPr>
          <w:p w14:paraId="75A237B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6B40631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20271E4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3C3C4A05" w14:textId="77777777" w:rsidTr="0096540E">
        <w:trPr>
          <w:trHeight w:val="225"/>
        </w:trPr>
        <w:tc>
          <w:tcPr>
            <w:tcW w:w="1590" w:type="dxa"/>
            <w:tcBorders>
              <w:top w:val="nil"/>
              <w:left w:val="nil"/>
              <w:bottom w:val="nil"/>
              <w:right w:val="nil"/>
            </w:tcBorders>
            <w:vAlign w:val="bottom"/>
          </w:tcPr>
          <w:p w14:paraId="7C0D914C"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_BSWD--C</w:t>
            </w:r>
          </w:p>
        </w:tc>
        <w:tc>
          <w:tcPr>
            <w:tcW w:w="833" w:type="dxa"/>
            <w:gridSpan w:val="2"/>
            <w:tcBorders>
              <w:top w:val="nil"/>
              <w:left w:val="nil"/>
              <w:bottom w:val="nil"/>
              <w:right w:val="nil"/>
            </w:tcBorders>
            <w:vAlign w:val="bottom"/>
          </w:tcPr>
          <w:p w14:paraId="2F8C165C"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0.086204</w:t>
            </w:r>
          </w:p>
        </w:tc>
        <w:tc>
          <w:tcPr>
            <w:tcW w:w="810" w:type="dxa"/>
            <w:gridSpan w:val="2"/>
            <w:tcBorders>
              <w:top w:val="nil"/>
              <w:left w:val="nil"/>
              <w:bottom w:val="nil"/>
              <w:right w:val="nil"/>
            </w:tcBorders>
            <w:vAlign w:val="bottom"/>
          </w:tcPr>
          <w:p w14:paraId="2C4283B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0EC4CBF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2ED1A88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638590F8" w14:textId="77777777" w:rsidTr="0096540E">
        <w:trPr>
          <w:trHeight w:val="225"/>
        </w:trPr>
        <w:tc>
          <w:tcPr>
            <w:tcW w:w="1590" w:type="dxa"/>
            <w:tcBorders>
              <w:top w:val="nil"/>
              <w:left w:val="nil"/>
              <w:bottom w:val="nil"/>
              <w:right w:val="nil"/>
            </w:tcBorders>
            <w:vAlign w:val="bottom"/>
          </w:tcPr>
          <w:p w14:paraId="6FF07403"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_BBNP--C</w:t>
            </w:r>
          </w:p>
        </w:tc>
        <w:tc>
          <w:tcPr>
            <w:tcW w:w="833" w:type="dxa"/>
            <w:gridSpan w:val="2"/>
            <w:tcBorders>
              <w:top w:val="nil"/>
              <w:left w:val="nil"/>
              <w:bottom w:val="nil"/>
              <w:right w:val="nil"/>
            </w:tcBorders>
            <w:vAlign w:val="bottom"/>
          </w:tcPr>
          <w:p w14:paraId="769F7AE4"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-0.053947</w:t>
            </w:r>
          </w:p>
        </w:tc>
        <w:tc>
          <w:tcPr>
            <w:tcW w:w="810" w:type="dxa"/>
            <w:gridSpan w:val="2"/>
            <w:tcBorders>
              <w:top w:val="nil"/>
              <w:left w:val="nil"/>
              <w:bottom w:val="nil"/>
              <w:right w:val="nil"/>
            </w:tcBorders>
            <w:vAlign w:val="bottom"/>
          </w:tcPr>
          <w:p w14:paraId="5F3A7AE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618AF146"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2A56EB17"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0194AA13" w14:textId="77777777" w:rsidTr="0096540E">
        <w:trPr>
          <w:trHeight w:val="225"/>
        </w:trPr>
        <w:tc>
          <w:tcPr>
            <w:tcW w:w="1590" w:type="dxa"/>
            <w:tcBorders>
              <w:top w:val="nil"/>
              <w:left w:val="nil"/>
              <w:bottom w:val="nil"/>
              <w:right w:val="nil"/>
            </w:tcBorders>
            <w:vAlign w:val="bottom"/>
          </w:tcPr>
          <w:p w14:paraId="16175C1A"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_BACA--C</w:t>
            </w:r>
          </w:p>
        </w:tc>
        <w:tc>
          <w:tcPr>
            <w:tcW w:w="833" w:type="dxa"/>
            <w:gridSpan w:val="2"/>
            <w:tcBorders>
              <w:top w:val="nil"/>
              <w:left w:val="nil"/>
              <w:bottom w:val="nil"/>
              <w:right w:val="nil"/>
            </w:tcBorders>
            <w:vAlign w:val="bottom"/>
          </w:tcPr>
          <w:p w14:paraId="19351B67"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-0.122117</w:t>
            </w:r>
          </w:p>
        </w:tc>
        <w:tc>
          <w:tcPr>
            <w:tcW w:w="810" w:type="dxa"/>
            <w:gridSpan w:val="2"/>
            <w:tcBorders>
              <w:top w:val="nil"/>
              <w:left w:val="nil"/>
              <w:bottom w:val="nil"/>
              <w:right w:val="nil"/>
            </w:tcBorders>
            <w:vAlign w:val="bottom"/>
          </w:tcPr>
          <w:p w14:paraId="2568FC9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47AFBD5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3C00B10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0FF69EE3" w14:textId="77777777" w:rsidTr="0096540E">
        <w:trPr>
          <w:trHeight w:val="225"/>
        </w:trPr>
        <w:tc>
          <w:tcPr>
            <w:tcW w:w="1590" w:type="dxa"/>
            <w:tcBorders>
              <w:top w:val="nil"/>
              <w:left w:val="nil"/>
              <w:bottom w:val="nil"/>
              <w:right w:val="nil"/>
            </w:tcBorders>
            <w:vAlign w:val="bottom"/>
          </w:tcPr>
          <w:p w14:paraId="3F4D3B6C"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_BNBA--C</w:t>
            </w:r>
          </w:p>
        </w:tc>
        <w:tc>
          <w:tcPr>
            <w:tcW w:w="833" w:type="dxa"/>
            <w:gridSpan w:val="2"/>
            <w:tcBorders>
              <w:top w:val="nil"/>
              <w:left w:val="nil"/>
              <w:bottom w:val="nil"/>
              <w:right w:val="nil"/>
            </w:tcBorders>
            <w:vAlign w:val="bottom"/>
          </w:tcPr>
          <w:p w14:paraId="10ED71A2"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-0.105876</w:t>
            </w:r>
          </w:p>
        </w:tc>
        <w:tc>
          <w:tcPr>
            <w:tcW w:w="810" w:type="dxa"/>
            <w:gridSpan w:val="2"/>
            <w:tcBorders>
              <w:top w:val="nil"/>
              <w:left w:val="nil"/>
              <w:bottom w:val="nil"/>
              <w:right w:val="nil"/>
            </w:tcBorders>
            <w:vAlign w:val="bottom"/>
          </w:tcPr>
          <w:p w14:paraId="002D192A"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5D2B1468"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58BAC3C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686CDBCC" w14:textId="77777777" w:rsidTr="0096540E">
        <w:trPr>
          <w:trHeight w:val="225"/>
        </w:trPr>
        <w:tc>
          <w:tcPr>
            <w:tcW w:w="1590" w:type="dxa"/>
            <w:tcBorders>
              <w:top w:val="nil"/>
              <w:left w:val="nil"/>
              <w:bottom w:val="nil"/>
              <w:right w:val="nil"/>
            </w:tcBorders>
            <w:vAlign w:val="bottom"/>
          </w:tcPr>
          <w:p w14:paraId="033A3745"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_INPC--C</w:t>
            </w:r>
          </w:p>
        </w:tc>
        <w:tc>
          <w:tcPr>
            <w:tcW w:w="833" w:type="dxa"/>
            <w:gridSpan w:val="2"/>
            <w:tcBorders>
              <w:top w:val="nil"/>
              <w:left w:val="nil"/>
              <w:bottom w:val="nil"/>
              <w:right w:val="nil"/>
            </w:tcBorders>
            <w:vAlign w:val="bottom"/>
          </w:tcPr>
          <w:p w14:paraId="6B670C82"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-0.049349</w:t>
            </w:r>
          </w:p>
        </w:tc>
        <w:tc>
          <w:tcPr>
            <w:tcW w:w="810" w:type="dxa"/>
            <w:gridSpan w:val="2"/>
            <w:tcBorders>
              <w:top w:val="nil"/>
              <w:left w:val="nil"/>
              <w:bottom w:val="nil"/>
              <w:right w:val="nil"/>
            </w:tcBorders>
            <w:vAlign w:val="bottom"/>
          </w:tcPr>
          <w:p w14:paraId="6B57CB24"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221914D9"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37418A8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1BCE1847" w14:textId="77777777" w:rsidTr="0096540E">
        <w:trPr>
          <w:trHeight w:val="225"/>
        </w:trPr>
        <w:tc>
          <w:tcPr>
            <w:tcW w:w="1590" w:type="dxa"/>
            <w:tcBorders>
              <w:top w:val="nil"/>
              <w:left w:val="nil"/>
              <w:bottom w:val="nil"/>
              <w:right w:val="nil"/>
            </w:tcBorders>
            <w:vAlign w:val="bottom"/>
          </w:tcPr>
          <w:p w14:paraId="3339112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_MCOR--C</w:t>
            </w:r>
          </w:p>
        </w:tc>
        <w:tc>
          <w:tcPr>
            <w:tcW w:w="833" w:type="dxa"/>
            <w:gridSpan w:val="2"/>
            <w:tcBorders>
              <w:top w:val="nil"/>
              <w:left w:val="nil"/>
              <w:bottom w:val="nil"/>
              <w:right w:val="nil"/>
            </w:tcBorders>
            <w:vAlign w:val="bottom"/>
          </w:tcPr>
          <w:p w14:paraId="2F52E7AC"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-0.020391</w:t>
            </w:r>
          </w:p>
        </w:tc>
        <w:tc>
          <w:tcPr>
            <w:tcW w:w="810" w:type="dxa"/>
            <w:gridSpan w:val="2"/>
            <w:tcBorders>
              <w:top w:val="nil"/>
              <w:left w:val="nil"/>
              <w:bottom w:val="nil"/>
              <w:right w:val="nil"/>
            </w:tcBorders>
            <w:vAlign w:val="bottom"/>
          </w:tcPr>
          <w:p w14:paraId="1A8E6C4E"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64DDB65D"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28A9F94F"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40CDF762" w14:textId="77777777" w:rsidTr="0096540E">
        <w:trPr>
          <w:trHeight w:hRule="exact" w:val="90"/>
        </w:trPr>
        <w:tc>
          <w:tcPr>
            <w:tcW w:w="1590" w:type="dxa"/>
            <w:tcBorders>
              <w:top w:val="nil"/>
              <w:left w:val="nil"/>
              <w:bottom w:val="double" w:sz="6" w:space="2" w:color="auto"/>
              <w:right w:val="nil"/>
            </w:tcBorders>
            <w:vAlign w:val="bottom"/>
          </w:tcPr>
          <w:p w14:paraId="4C8627B2"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33" w:type="dxa"/>
            <w:gridSpan w:val="2"/>
            <w:tcBorders>
              <w:top w:val="nil"/>
              <w:left w:val="nil"/>
              <w:bottom w:val="double" w:sz="6" w:space="2" w:color="auto"/>
              <w:right w:val="nil"/>
            </w:tcBorders>
            <w:vAlign w:val="bottom"/>
          </w:tcPr>
          <w:p w14:paraId="51ADB194"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double" w:sz="6" w:space="2" w:color="auto"/>
              <w:right w:val="nil"/>
            </w:tcBorders>
            <w:vAlign w:val="bottom"/>
          </w:tcPr>
          <w:p w14:paraId="0F82536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double" w:sz="6" w:space="2" w:color="auto"/>
              <w:right w:val="nil"/>
            </w:tcBorders>
            <w:vAlign w:val="bottom"/>
          </w:tcPr>
          <w:p w14:paraId="15C6920D"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double" w:sz="6" w:space="2" w:color="auto"/>
              <w:right w:val="nil"/>
            </w:tcBorders>
            <w:vAlign w:val="bottom"/>
          </w:tcPr>
          <w:p w14:paraId="7DDDCB52"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7F29E4C0" w14:textId="77777777" w:rsidTr="0096540E">
        <w:trPr>
          <w:trHeight w:hRule="exact" w:val="135"/>
        </w:trPr>
        <w:tc>
          <w:tcPr>
            <w:tcW w:w="1590" w:type="dxa"/>
            <w:tcBorders>
              <w:top w:val="nil"/>
              <w:left w:val="nil"/>
              <w:bottom w:val="nil"/>
              <w:right w:val="nil"/>
            </w:tcBorders>
            <w:vAlign w:val="bottom"/>
          </w:tcPr>
          <w:p w14:paraId="38984856"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33" w:type="dxa"/>
            <w:gridSpan w:val="2"/>
            <w:tcBorders>
              <w:top w:val="nil"/>
              <w:left w:val="nil"/>
              <w:bottom w:val="nil"/>
              <w:right w:val="nil"/>
            </w:tcBorders>
            <w:vAlign w:val="bottom"/>
          </w:tcPr>
          <w:p w14:paraId="451BEDF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810" w:type="dxa"/>
            <w:gridSpan w:val="2"/>
            <w:tcBorders>
              <w:top w:val="nil"/>
              <w:left w:val="nil"/>
              <w:bottom w:val="nil"/>
              <w:right w:val="nil"/>
            </w:tcBorders>
            <w:vAlign w:val="bottom"/>
          </w:tcPr>
          <w:p w14:paraId="5B8638E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nil"/>
              <w:right w:val="nil"/>
            </w:tcBorders>
            <w:vAlign w:val="bottom"/>
          </w:tcPr>
          <w:p w14:paraId="4742245A"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4F796524"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7FE104C7" w14:textId="77777777" w:rsidTr="0096540E">
        <w:trPr>
          <w:trHeight w:val="225"/>
        </w:trPr>
        <w:tc>
          <w:tcPr>
            <w:tcW w:w="1860" w:type="dxa"/>
            <w:gridSpan w:val="2"/>
            <w:tcBorders>
              <w:top w:val="nil"/>
              <w:left w:val="nil"/>
              <w:bottom w:val="nil"/>
              <w:right w:val="nil"/>
            </w:tcBorders>
            <w:vAlign w:val="bottom"/>
          </w:tcPr>
          <w:p w14:paraId="05398F51"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1373" w:type="dxa"/>
            <w:gridSpan w:val="3"/>
            <w:tcBorders>
              <w:top w:val="nil"/>
              <w:left w:val="nil"/>
              <w:bottom w:val="nil"/>
              <w:right w:val="nil"/>
            </w:tcBorders>
            <w:vAlign w:val="bottom"/>
          </w:tcPr>
          <w:p w14:paraId="0C3BC9C1" w14:textId="77777777" w:rsidR="005045F1" w:rsidRPr="008057DA" w:rsidRDefault="005045F1" w:rsidP="0096540E">
            <w:pPr>
              <w:autoSpaceDE w:val="0"/>
              <w:autoSpaceDN w:val="0"/>
              <w:adjustRightInd w:val="0"/>
              <w:jc w:val="center"/>
              <w:rPr>
                <w:rFonts w:eastAsia="Times New Roman"/>
                <w:color w:val="000000"/>
                <w:sz w:val="16"/>
                <w:szCs w:val="16"/>
              </w:rPr>
            </w:pPr>
            <w:r w:rsidRPr="008057DA">
              <w:rPr>
                <w:rFonts w:eastAsia="Times New Roman"/>
                <w:color w:val="000000"/>
                <w:sz w:val="16"/>
                <w:szCs w:val="16"/>
              </w:rPr>
              <w:t>Weighted Statistics</w:t>
            </w:r>
          </w:p>
        </w:tc>
        <w:tc>
          <w:tcPr>
            <w:tcW w:w="787" w:type="dxa"/>
            <w:tcBorders>
              <w:top w:val="nil"/>
              <w:left w:val="nil"/>
              <w:bottom w:val="nil"/>
              <w:right w:val="nil"/>
            </w:tcBorders>
            <w:vAlign w:val="bottom"/>
          </w:tcPr>
          <w:p w14:paraId="6CB7B4D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5EA1CA76"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744EF85A" w14:textId="77777777" w:rsidTr="0096540E">
        <w:trPr>
          <w:trHeight w:hRule="exact" w:val="90"/>
        </w:trPr>
        <w:tc>
          <w:tcPr>
            <w:tcW w:w="1860" w:type="dxa"/>
            <w:gridSpan w:val="2"/>
            <w:tcBorders>
              <w:top w:val="nil"/>
              <w:left w:val="nil"/>
              <w:bottom w:val="double" w:sz="6" w:space="2" w:color="auto"/>
              <w:right w:val="nil"/>
            </w:tcBorders>
            <w:vAlign w:val="bottom"/>
          </w:tcPr>
          <w:p w14:paraId="7681466B"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double" w:sz="6" w:space="2" w:color="auto"/>
              <w:right w:val="nil"/>
            </w:tcBorders>
            <w:vAlign w:val="bottom"/>
          </w:tcPr>
          <w:p w14:paraId="58776816"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43" w:type="dxa"/>
            <w:tcBorders>
              <w:top w:val="nil"/>
              <w:left w:val="nil"/>
              <w:bottom w:val="double" w:sz="6" w:space="2" w:color="auto"/>
              <w:right w:val="nil"/>
            </w:tcBorders>
            <w:vAlign w:val="bottom"/>
          </w:tcPr>
          <w:p w14:paraId="77E0FF83"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double" w:sz="6" w:space="2" w:color="auto"/>
              <w:right w:val="nil"/>
            </w:tcBorders>
            <w:vAlign w:val="bottom"/>
          </w:tcPr>
          <w:p w14:paraId="0DB7378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double" w:sz="6" w:space="2" w:color="auto"/>
              <w:right w:val="nil"/>
            </w:tcBorders>
            <w:vAlign w:val="bottom"/>
          </w:tcPr>
          <w:p w14:paraId="48DA2875"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74737EF6" w14:textId="77777777" w:rsidTr="0096540E">
        <w:trPr>
          <w:trHeight w:hRule="exact" w:val="135"/>
        </w:trPr>
        <w:tc>
          <w:tcPr>
            <w:tcW w:w="1860" w:type="dxa"/>
            <w:gridSpan w:val="2"/>
            <w:tcBorders>
              <w:top w:val="nil"/>
              <w:left w:val="nil"/>
              <w:bottom w:val="nil"/>
              <w:right w:val="nil"/>
            </w:tcBorders>
            <w:vAlign w:val="bottom"/>
          </w:tcPr>
          <w:p w14:paraId="149A8B76"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07E4DD9A"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43" w:type="dxa"/>
            <w:tcBorders>
              <w:top w:val="nil"/>
              <w:left w:val="nil"/>
              <w:bottom w:val="nil"/>
              <w:right w:val="nil"/>
            </w:tcBorders>
            <w:vAlign w:val="bottom"/>
          </w:tcPr>
          <w:p w14:paraId="7216051B"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nil"/>
              <w:right w:val="nil"/>
            </w:tcBorders>
            <w:vAlign w:val="bottom"/>
          </w:tcPr>
          <w:p w14:paraId="51CEC46F"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0452B842"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34E7BD3B" w14:textId="77777777" w:rsidTr="0096540E">
        <w:trPr>
          <w:trHeight w:val="225"/>
        </w:trPr>
        <w:tc>
          <w:tcPr>
            <w:tcW w:w="1860" w:type="dxa"/>
            <w:gridSpan w:val="2"/>
            <w:tcBorders>
              <w:top w:val="nil"/>
              <w:left w:val="nil"/>
              <w:bottom w:val="nil"/>
              <w:right w:val="nil"/>
            </w:tcBorders>
            <w:vAlign w:val="bottom"/>
          </w:tcPr>
          <w:p w14:paraId="0DDA8C0C"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R-squared</w:t>
            </w:r>
          </w:p>
        </w:tc>
        <w:tc>
          <w:tcPr>
            <w:tcW w:w="630" w:type="dxa"/>
            <w:gridSpan w:val="2"/>
            <w:tcBorders>
              <w:top w:val="nil"/>
              <w:left w:val="nil"/>
              <w:bottom w:val="nil"/>
              <w:right w:val="nil"/>
            </w:tcBorders>
            <w:vAlign w:val="bottom"/>
          </w:tcPr>
          <w:p w14:paraId="143B526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0.106448</w:t>
            </w:r>
          </w:p>
        </w:tc>
        <w:tc>
          <w:tcPr>
            <w:tcW w:w="1530" w:type="dxa"/>
            <w:gridSpan w:val="2"/>
            <w:tcBorders>
              <w:top w:val="nil"/>
              <w:left w:val="nil"/>
              <w:bottom w:val="nil"/>
              <w:right w:val="nil"/>
            </w:tcBorders>
            <w:vAlign w:val="bottom"/>
          </w:tcPr>
          <w:p w14:paraId="42D4C2B6"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Mean dependent var</w:t>
            </w:r>
          </w:p>
        </w:tc>
        <w:tc>
          <w:tcPr>
            <w:tcW w:w="630" w:type="dxa"/>
            <w:gridSpan w:val="2"/>
            <w:tcBorders>
              <w:top w:val="nil"/>
              <w:left w:val="nil"/>
              <w:bottom w:val="nil"/>
              <w:right w:val="nil"/>
            </w:tcBorders>
            <w:vAlign w:val="bottom"/>
          </w:tcPr>
          <w:p w14:paraId="773E87AC"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0.466778</w:t>
            </w:r>
          </w:p>
        </w:tc>
      </w:tr>
      <w:tr w:rsidR="005045F1" w:rsidRPr="007F2A3E" w14:paraId="23CAAA39" w14:textId="77777777" w:rsidTr="0096540E">
        <w:trPr>
          <w:trHeight w:val="225"/>
        </w:trPr>
        <w:tc>
          <w:tcPr>
            <w:tcW w:w="1860" w:type="dxa"/>
            <w:gridSpan w:val="2"/>
            <w:tcBorders>
              <w:top w:val="nil"/>
              <w:left w:val="nil"/>
              <w:bottom w:val="nil"/>
              <w:right w:val="nil"/>
            </w:tcBorders>
            <w:vAlign w:val="bottom"/>
          </w:tcPr>
          <w:p w14:paraId="39536211"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Adjusted R-squared</w:t>
            </w:r>
          </w:p>
        </w:tc>
        <w:tc>
          <w:tcPr>
            <w:tcW w:w="630" w:type="dxa"/>
            <w:gridSpan w:val="2"/>
            <w:tcBorders>
              <w:top w:val="nil"/>
              <w:left w:val="nil"/>
              <w:bottom w:val="nil"/>
              <w:right w:val="nil"/>
            </w:tcBorders>
            <w:vAlign w:val="bottom"/>
          </w:tcPr>
          <w:p w14:paraId="4EE5F3A7"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0.065832</w:t>
            </w:r>
          </w:p>
        </w:tc>
        <w:tc>
          <w:tcPr>
            <w:tcW w:w="1530" w:type="dxa"/>
            <w:gridSpan w:val="2"/>
            <w:tcBorders>
              <w:top w:val="nil"/>
              <w:left w:val="nil"/>
              <w:bottom w:val="nil"/>
              <w:right w:val="nil"/>
            </w:tcBorders>
            <w:vAlign w:val="bottom"/>
          </w:tcPr>
          <w:p w14:paraId="66C12076"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S.D. dependent var</w:t>
            </w:r>
          </w:p>
        </w:tc>
        <w:tc>
          <w:tcPr>
            <w:tcW w:w="630" w:type="dxa"/>
            <w:gridSpan w:val="2"/>
            <w:tcBorders>
              <w:top w:val="nil"/>
              <w:left w:val="nil"/>
              <w:bottom w:val="nil"/>
              <w:right w:val="nil"/>
            </w:tcBorders>
            <w:vAlign w:val="bottom"/>
          </w:tcPr>
          <w:p w14:paraId="1A07440F"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0.164979</w:t>
            </w:r>
          </w:p>
        </w:tc>
      </w:tr>
      <w:tr w:rsidR="005045F1" w:rsidRPr="007F2A3E" w14:paraId="66380A4C" w14:textId="77777777" w:rsidTr="0096540E">
        <w:trPr>
          <w:trHeight w:val="225"/>
        </w:trPr>
        <w:tc>
          <w:tcPr>
            <w:tcW w:w="1860" w:type="dxa"/>
            <w:gridSpan w:val="2"/>
            <w:tcBorders>
              <w:top w:val="nil"/>
              <w:left w:val="nil"/>
              <w:bottom w:val="nil"/>
              <w:right w:val="nil"/>
            </w:tcBorders>
            <w:vAlign w:val="bottom"/>
          </w:tcPr>
          <w:p w14:paraId="30F11E15"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S.E. of regression</w:t>
            </w:r>
          </w:p>
        </w:tc>
        <w:tc>
          <w:tcPr>
            <w:tcW w:w="630" w:type="dxa"/>
            <w:gridSpan w:val="2"/>
            <w:tcBorders>
              <w:top w:val="nil"/>
              <w:left w:val="nil"/>
              <w:bottom w:val="nil"/>
              <w:right w:val="nil"/>
            </w:tcBorders>
            <w:vAlign w:val="bottom"/>
          </w:tcPr>
          <w:p w14:paraId="2D1BC926"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0.159456</w:t>
            </w:r>
          </w:p>
        </w:tc>
        <w:tc>
          <w:tcPr>
            <w:tcW w:w="1530" w:type="dxa"/>
            <w:gridSpan w:val="2"/>
            <w:tcBorders>
              <w:top w:val="nil"/>
              <w:left w:val="nil"/>
              <w:bottom w:val="nil"/>
              <w:right w:val="nil"/>
            </w:tcBorders>
            <w:vAlign w:val="bottom"/>
          </w:tcPr>
          <w:p w14:paraId="1E006F27"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Sum squared resid</w:t>
            </w:r>
          </w:p>
        </w:tc>
        <w:tc>
          <w:tcPr>
            <w:tcW w:w="630" w:type="dxa"/>
            <w:gridSpan w:val="2"/>
            <w:tcBorders>
              <w:top w:val="nil"/>
              <w:left w:val="nil"/>
              <w:bottom w:val="nil"/>
              <w:right w:val="nil"/>
            </w:tcBorders>
            <w:vAlign w:val="bottom"/>
          </w:tcPr>
          <w:p w14:paraId="11B4F56D"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3.915650</w:t>
            </w:r>
          </w:p>
        </w:tc>
      </w:tr>
      <w:tr w:rsidR="005045F1" w:rsidRPr="007F2A3E" w14:paraId="2BC00551" w14:textId="77777777" w:rsidTr="0096540E">
        <w:trPr>
          <w:trHeight w:val="225"/>
        </w:trPr>
        <w:tc>
          <w:tcPr>
            <w:tcW w:w="1860" w:type="dxa"/>
            <w:gridSpan w:val="2"/>
            <w:tcBorders>
              <w:top w:val="nil"/>
              <w:left w:val="nil"/>
              <w:bottom w:val="nil"/>
              <w:right w:val="nil"/>
            </w:tcBorders>
            <w:vAlign w:val="bottom"/>
          </w:tcPr>
          <w:p w14:paraId="0EEFEC31"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F-statistic</w:t>
            </w:r>
          </w:p>
        </w:tc>
        <w:tc>
          <w:tcPr>
            <w:tcW w:w="630" w:type="dxa"/>
            <w:gridSpan w:val="2"/>
            <w:tcBorders>
              <w:top w:val="nil"/>
              <w:left w:val="nil"/>
              <w:bottom w:val="nil"/>
              <w:right w:val="nil"/>
            </w:tcBorders>
            <w:vAlign w:val="bottom"/>
          </w:tcPr>
          <w:p w14:paraId="2544BA77"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2.620840</w:t>
            </w:r>
          </w:p>
        </w:tc>
        <w:tc>
          <w:tcPr>
            <w:tcW w:w="1530" w:type="dxa"/>
            <w:gridSpan w:val="2"/>
            <w:tcBorders>
              <w:top w:val="nil"/>
              <w:left w:val="nil"/>
              <w:bottom w:val="nil"/>
              <w:right w:val="nil"/>
            </w:tcBorders>
            <w:vAlign w:val="bottom"/>
          </w:tcPr>
          <w:p w14:paraId="58B23694" w14:textId="77777777" w:rsidR="005045F1" w:rsidRPr="008057DA" w:rsidRDefault="005045F1" w:rsidP="0096540E">
            <w:pPr>
              <w:autoSpaceDE w:val="0"/>
              <w:autoSpaceDN w:val="0"/>
              <w:adjustRightInd w:val="0"/>
              <w:ind w:right="10"/>
              <w:rPr>
                <w:rFonts w:eastAsia="Times New Roman"/>
                <w:color w:val="000000"/>
                <w:sz w:val="16"/>
                <w:szCs w:val="16"/>
              </w:rPr>
            </w:pPr>
            <w:r w:rsidRPr="008057DA">
              <w:rPr>
                <w:rFonts w:eastAsia="Times New Roman"/>
                <w:color w:val="000000"/>
                <w:sz w:val="16"/>
                <w:szCs w:val="16"/>
              </w:rPr>
              <w:t>    Durbin-Watson stat</w:t>
            </w:r>
          </w:p>
        </w:tc>
        <w:tc>
          <w:tcPr>
            <w:tcW w:w="630" w:type="dxa"/>
            <w:gridSpan w:val="2"/>
            <w:tcBorders>
              <w:top w:val="nil"/>
              <w:left w:val="nil"/>
              <w:bottom w:val="nil"/>
              <w:right w:val="nil"/>
            </w:tcBorders>
            <w:vAlign w:val="bottom"/>
          </w:tcPr>
          <w:p w14:paraId="47E4B351"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1.742666</w:t>
            </w:r>
          </w:p>
        </w:tc>
      </w:tr>
      <w:tr w:rsidR="005045F1" w:rsidRPr="007F2A3E" w14:paraId="6DDCE836" w14:textId="77777777" w:rsidTr="0096540E">
        <w:trPr>
          <w:trHeight w:val="225"/>
        </w:trPr>
        <w:tc>
          <w:tcPr>
            <w:tcW w:w="1860" w:type="dxa"/>
            <w:gridSpan w:val="2"/>
            <w:tcBorders>
              <w:top w:val="nil"/>
              <w:left w:val="nil"/>
              <w:bottom w:val="nil"/>
              <w:right w:val="nil"/>
            </w:tcBorders>
            <w:vAlign w:val="bottom"/>
          </w:tcPr>
          <w:p w14:paraId="0098B492" w14:textId="77777777" w:rsidR="005045F1" w:rsidRPr="008057DA" w:rsidRDefault="005045F1" w:rsidP="0096540E">
            <w:pPr>
              <w:autoSpaceDE w:val="0"/>
              <w:autoSpaceDN w:val="0"/>
              <w:adjustRightInd w:val="0"/>
              <w:rPr>
                <w:rFonts w:eastAsia="Times New Roman"/>
                <w:color w:val="000000"/>
                <w:sz w:val="16"/>
                <w:szCs w:val="16"/>
              </w:rPr>
            </w:pPr>
            <w:r w:rsidRPr="008057DA">
              <w:rPr>
                <w:rFonts w:eastAsia="Times New Roman"/>
                <w:color w:val="000000"/>
                <w:sz w:val="16"/>
                <w:szCs w:val="16"/>
              </w:rPr>
              <w:t>Prob(F-statistic)</w:t>
            </w:r>
          </w:p>
        </w:tc>
        <w:tc>
          <w:tcPr>
            <w:tcW w:w="630" w:type="dxa"/>
            <w:gridSpan w:val="2"/>
            <w:tcBorders>
              <w:top w:val="nil"/>
              <w:left w:val="nil"/>
              <w:bottom w:val="nil"/>
              <w:right w:val="nil"/>
            </w:tcBorders>
            <w:vAlign w:val="bottom"/>
          </w:tcPr>
          <w:p w14:paraId="7D53E4BB" w14:textId="77777777" w:rsidR="005045F1" w:rsidRPr="008057DA" w:rsidRDefault="005045F1" w:rsidP="0096540E">
            <w:pPr>
              <w:autoSpaceDE w:val="0"/>
              <w:autoSpaceDN w:val="0"/>
              <w:adjustRightInd w:val="0"/>
              <w:ind w:right="10"/>
              <w:jc w:val="right"/>
              <w:rPr>
                <w:rFonts w:eastAsia="Times New Roman"/>
                <w:color w:val="000000"/>
                <w:sz w:val="16"/>
                <w:szCs w:val="16"/>
              </w:rPr>
            </w:pPr>
            <w:r w:rsidRPr="008057DA">
              <w:rPr>
                <w:rFonts w:eastAsia="Times New Roman"/>
                <w:color w:val="000000"/>
                <w:sz w:val="16"/>
                <w:szCs w:val="16"/>
              </w:rPr>
              <w:t>0.013858</w:t>
            </w:r>
          </w:p>
        </w:tc>
        <w:tc>
          <w:tcPr>
            <w:tcW w:w="743" w:type="dxa"/>
            <w:tcBorders>
              <w:top w:val="nil"/>
              <w:left w:val="nil"/>
              <w:bottom w:val="nil"/>
              <w:right w:val="nil"/>
            </w:tcBorders>
            <w:vAlign w:val="bottom"/>
          </w:tcPr>
          <w:p w14:paraId="167AD3C5"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787" w:type="dxa"/>
            <w:tcBorders>
              <w:top w:val="nil"/>
              <w:left w:val="nil"/>
              <w:bottom w:val="nil"/>
              <w:right w:val="nil"/>
            </w:tcBorders>
            <w:vAlign w:val="bottom"/>
          </w:tcPr>
          <w:p w14:paraId="011AF8E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c>
          <w:tcPr>
            <w:tcW w:w="630" w:type="dxa"/>
            <w:gridSpan w:val="2"/>
            <w:tcBorders>
              <w:top w:val="nil"/>
              <w:left w:val="nil"/>
              <w:bottom w:val="nil"/>
              <w:right w:val="nil"/>
            </w:tcBorders>
            <w:vAlign w:val="bottom"/>
          </w:tcPr>
          <w:p w14:paraId="02CC2CBC" w14:textId="77777777" w:rsidR="005045F1" w:rsidRPr="008057DA" w:rsidRDefault="005045F1" w:rsidP="0096540E">
            <w:pPr>
              <w:autoSpaceDE w:val="0"/>
              <w:autoSpaceDN w:val="0"/>
              <w:adjustRightInd w:val="0"/>
              <w:ind w:right="10"/>
              <w:jc w:val="center"/>
              <w:rPr>
                <w:rFonts w:eastAsia="Times New Roman"/>
                <w:color w:val="000000"/>
                <w:sz w:val="16"/>
                <w:szCs w:val="16"/>
              </w:rPr>
            </w:pPr>
          </w:p>
        </w:tc>
      </w:tr>
      <w:tr w:rsidR="005045F1" w:rsidRPr="007F2A3E" w14:paraId="20614F48" w14:textId="77777777" w:rsidTr="0096540E">
        <w:trPr>
          <w:trHeight w:hRule="exact" w:val="90"/>
        </w:trPr>
        <w:tc>
          <w:tcPr>
            <w:tcW w:w="1860" w:type="dxa"/>
            <w:gridSpan w:val="2"/>
            <w:tcBorders>
              <w:top w:val="nil"/>
              <w:left w:val="nil"/>
              <w:bottom w:val="double" w:sz="6" w:space="2" w:color="auto"/>
              <w:right w:val="nil"/>
            </w:tcBorders>
            <w:vAlign w:val="bottom"/>
          </w:tcPr>
          <w:p w14:paraId="4EC542A2"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double" w:sz="6" w:space="2" w:color="auto"/>
              <w:right w:val="nil"/>
            </w:tcBorders>
            <w:vAlign w:val="bottom"/>
          </w:tcPr>
          <w:p w14:paraId="009A1872"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43" w:type="dxa"/>
            <w:tcBorders>
              <w:top w:val="nil"/>
              <w:left w:val="nil"/>
              <w:bottom w:val="double" w:sz="6" w:space="2" w:color="auto"/>
              <w:right w:val="nil"/>
            </w:tcBorders>
            <w:vAlign w:val="bottom"/>
          </w:tcPr>
          <w:p w14:paraId="32A88DDB"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double" w:sz="6" w:space="2" w:color="auto"/>
              <w:right w:val="nil"/>
            </w:tcBorders>
            <w:vAlign w:val="bottom"/>
          </w:tcPr>
          <w:p w14:paraId="0756C622"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double" w:sz="6" w:space="2" w:color="auto"/>
              <w:right w:val="nil"/>
            </w:tcBorders>
            <w:vAlign w:val="bottom"/>
          </w:tcPr>
          <w:p w14:paraId="26FBAE7A" w14:textId="77777777" w:rsidR="005045F1" w:rsidRPr="008057DA" w:rsidRDefault="005045F1" w:rsidP="0096540E">
            <w:pPr>
              <w:autoSpaceDE w:val="0"/>
              <w:autoSpaceDN w:val="0"/>
              <w:adjustRightInd w:val="0"/>
              <w:jc w:val="center"/>
              <w:rPr>
                <w:rFonts w:eastAsia="Times New Roman"/>
                <w:color w:val="000000"/>
                <w:sz w:val="16"/>
                <w:szCs w:val="16"/>
              </w:rPr>
            </w:pPr>
          </w:p>
        </w:tc>
      </w:tr>
      <w:tr w:rsidR="005045F1" w:rsidRPr="007F2A3E" w14:paraId="2ECE2A0D" w14:textId="77777777" w:rsidTr="0096540E">
        <w:trPr>
          <w:trHeight w:hRule="exact" w:val="135"/>
        </w:trPr>
        <w:tc>
          <w:tcPr>
            <w:tcW w:w="1860" w:type="dxa"/>
            <w:gridSpan w:val="2"/>
            <w:tcBorders>
              <w:top w:val="nil"/>
              <w:left w:val="nil"/>
              <w:bottom w:val="nil"/>
              <w:right w:val="nil"/>
            </w:tcBorders>
            <w:vAlign w:val="bottom"/>
          </w:tcPr>
          <w:p w14:paraId="502B4DE4"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28580606"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43" w:type="dxa"/>
            <w:tcBorders>
              <w:top w:val="nil"/>
              <w:left w:val="nil"/>
              <w:bottom w:val="nil"/>
              <w:right w:val="nil"/>
            </w:tcBorders>
            <w:vAlign w:val="bottom"/>
          </w:tcPr>
          <w:p w14:paraId="53EBDC69"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787" w:type="dxa"/>
            <w:tcBorders>
              <w:top w:val="nil"/>
              <w:left w:val="nil"/>
              <w:bottom w:val="nil"/>
              <w:right w:val="nil"/>
            </w:tcBorders>
            <w:vAlign w:val="bottom"/>
          </w:tcPr>
          <w:p w14:paraId="1A7385E2" w14:textId="77777777" w:rsidR="005045F1" w:rsidRPr="008057DA" w:rsidRDefault="005045F1" w:rsidP="0096540E">
            <w:pPr>
              <w:autoSpaceDE w:val="0"/>
              <w:autoSpaceDN w:val="0"/>
              <w:adjustRightInd w:val="0"/>
              <w:jc w:val="center"/>
              <w:rPr>
                <w:rFonts w:eastAsia="Times New Roman"/>
                <w:color w:val="000000"/>
                <w:sz w:val="16"/>
                <w:szCs w:val="16"/>
              </w:rPr>
            </w:pPr>
          </w:p>
        </w:tc>
        <w:tc>
          <w:tcPr>
            <w:tcW w:w="630" w:type="dxa"/>
            <w:gridSpan w:val="2"/>
            <w:tcBorders>
              <w:top w:val="nil"/>
              <w:left w:val="nil"/>
              <w:bottom w:val="nil"/>
              <w:right w:val="nil"/>
            </w:tcBorders>
            <w:vAlign w:val="bottom"/>
          </w:tcPr>
          <w:p w14:paraId="5CE3EB7E" w14:textId="77777777" w:rsidR="005045F1" w:rsidRPr="008057DA" w:rsidRDefault="005045F1" w:rsidP="0096540E">
            <w:pPr>
              <w:autoSpaceDE w:val="0"/>
              <w:autoSpaceDN w:val="0"/>
              <w:adjustRightInd w:val="0"/>
              <w:jc w:val="center"/>
              <w:rPr>
                <w:rFonts w:eastAsia="Times New Roman"/>
                <w:color w:val="000000"/>
                <w:sz w:val="16"/>
                <w:szCs w:val="16"/>
              </w:rPr>
            </w:pPr>
          </w:p>
        </w:tc>
      </w:tr>
    </w:tbl>
    <w:p w14:paraId="01F67673" w14:textId="77777777" w:rsidR="005045F1" w:rsidRDefault="005045F1" w:rsidP="00E640DB">
      <w:pPr>
        <w:jc w:val="both"/>
        <w:rPr>
          <w:lang w:val="id-ID"/>
        </w:rPr>
      </w:pPr>
    </w:p>
    <w:p w14:paraId="3C9FD198" w14:textId="71E6E1C4" w:rsidR="00E640DB" w:rsidRDefault="009E17BF" w:rsidP="00E640DB">
      <w:pPr>
        <w:jc w:val="both"/>
        <w:rPr>
          <w:lang w:val="id-ID"/>
        </w:rPr>
      </w:pPr>
      <w:r w:rsidRPr="009E17BF">
        <w:rPr>
          <w:lang w:val="id-ID"/>
        </w:rPr>
        <w:t>Based on equations (5) and table 3., it is interpreted and compared with the research hypothesis as follows: In the relationship / influence together shows that the growth variable of company (FG), CAR, NPL, LDR, BOPO,</w:t>
      </w:r>
      <w:r w:rsidR="00582A0D">
        <w:rPr>
          <w:lang w:val="id-ID"/>
        </w:rPr>
        <w:t xml:space="preserve"> </w:t>
      </w:r>
      <w:r w:rsidRPr="009E17BF">
        <w:rPr>
          <w:lang w:val="id-ID"/>
        </w:rPr>
        <w:t>Growth of DPK (DG), and profitability (ROA) affect the value of the company (TOBIN) banking with the level</w:t>
      </w:r>
      <w:r w:rsidR="005045F1">
        <w:rPr>
          <w:lang w:val="id-ID"/>
        </w:rPr>
        <w:t xml:space="preserve"> </w:t>
      </w:r>
      <w:r w:rsidR="00997FA4" w:rsidRPr="00997FA4">
        <w:rPr>
          <w:lang w:val="id-ID"/>
        </w:rPr>
        <w:t>95 percent confidence</w:t>
      </w:r>
      <w:r w:rsidR="00F25F05">
        <w:rPr>
          <w:lang w:val="id-ID"/>
        </w:rPr>
        <w:t>s</w:t>
      </w:r>
      <w:r w:rsidR="00997FA4" w:rsidRPr="00997FA4">
        <w:rPr>
          <w:lang w:val="id-ID"/>
        </w:rPr>
        <w:t>, where the value of Prob (F-statistic) of 0.013858 is smaller than α = 0.05. The empirical findings of this study are in line with the research hypothesis which states that the independent variable of company growth (FG), CAR, NPL, LDR, BOPO, growth of DPK (DG), and profitability (ROA) have an effect on dependent variable of firm value (TOBIN). Partially NPL free variable with t-statistic probability value</w:t>
      </w:r>
      <w:r w:rsidR="00F25F05">
        <w:rPr>
          <w:lang w:val="id-ID"/>
        </w:rPr>
        <w:t>s</w:t>
      </w:r>
      <w:r w:rsidR="00997FA4" w:rsidRPr="00997FA4">
        <w:rPr>
          <w:lang w:val="id-ID"/>
        </w:rPr>
        <w:t xml:space="preserve"> (0.0308) has a</w:t>
      </w:r>
      <w:r w:rsidR="00F25F05">
        <w:rPr>
          <w:lang w:val="id-ID"/>
        </w:rPr>
        <w:t xml:space="preserve"> significant negative effect of</w:t>
      </w:r>
      <w:r w:rsidR="00997FA4" w:rsidRPr="00997FA4">
        <w:rPr>
          <w:lang w:val="id-ID"/>
        </w:rPr>
        <w:t xml:space="preserve"> 95% significance level to variable of value of company (TOBIN). The independent variable of DPK growth (DG) with t-statistic probability value</w:t>
      </w:r>
      <w:r w:rsidR="00F25F05">
        <w:rPr>
          <w:lang w:val="id-ID"/>
        </w:rPr>
        <w:t>s</w:t>
      </w:r>
      <w:r w:rsidR="00997FA4" w:rsidRPr="00997FA4">
        <w:rPr>
          <w:lang w:val="id-ID"/>
        </w:rPr>
        <w:t xml:space="preserve"> (0.0888) has a </w:t>
      </w:r>
      <w:r w:rsidR="00F25F05">
        <w:rPr>
          <w:lang w:val="id-ID"/>
        </w:rPr>
        <w:t>significant positive effect of</w:t>
      </w:r>
      <w:r w:rsidR="00997FA4" w:rsidRPr="00997FA4">
        <w:rPr>
          <w:lang w:val="id-ID"/>
        </w:rPr>
        <w:t xml:space="preserve"> 90% significance level on the firm's value-free variable (TOBIN). In addition, the independent variable of company growth (FG) had positive significant (0,561), CAR free variable had positive significant (0,4197), Loan free variable (LDR) had negative significant (02160), independent variable of operational cost (BOPO) (0.8562), profitability free variable (ROA) has a positive effect is not significant (0.7432) to the dependent variable of firm value (TOBIN)</w:t>
      </w:r>
      <w:r w:rsidR="00E640DB">
        <w:rPr>
          <w:lang w:val="id-ID"/>
        </w:rPr>
        <w:t>.</w:t>
      </w:r>
    </w:p>
    <w:p w14:paraId="5A388058" w14:textId="77777777" w:rsidR="00582A0D" w:rsidRDefault="00582A0D" w:rsidP="00E640DB">
      <w:pPr>
        <w:jc w:val="both"/>
        <w:rPr>
          <w:lang w:val="id-ID"/>
        </w:rPr>
      </w:pPr>
    </w:p>
    <w:p w14:paraId="44A09ECA" w14:textId="77777777" w:rsidR="00E640DB" w:rsidRDefault="00F25F05" w:rsidP="00E640DB">
      <w:pPr>
        <w:jc w:val="both"/>
        <w:rPr>
          <w:lang w:val="id-ID"/>
        </w:rPr>
      </w:pPr>
      <w:r w:rsidRPr="00F25F05">
        <w:rPr>
          <w:lang w:val="id-ID"/>
        </w:rPr>
        <w:t>The panel data regression for each company in the random effect model is shown in the constants of 27 banks, the most</w:t>
      </w:r>
      <w:r>
        <w:rPr>
          <w:lang w:val="id-ID"/>
        </w:rPr>
        <w:t xml:space="preserve"> sensitive bank or the bank of</w:t>
      </w:r>
      <w:r w:rsidRPr="00F25F05">
        <w:rPr>
          <w:lang w:val="id-ID"/>
        </w:rPr>
        <w:t xml:space="preserve"> the greatest sensitivity (indicated by the constant magnitude) is PT. Bank Central Asia Tbk. (BBCA) with a total value of 1.594508. While most banks are </w:t>
      </w:r>
      <w:r>
        <w:rPr>
          <w:lang w:val="id-ID"/>
        </w:rPr>
        <w:t>not sensitive or banks that has</w:t>
      </w:r>
      <w:r w:rsidRPr="00F25F05">
        <w:rPr>
          <w:lang w:val="id-ID"/>
        </w:rPr>
        <w:t xml:space="preserve"> the smallest constants value is PT. Bank Victoria International Tbk. (BVIC), with a total value of 1,000,568</w:t>
      </w:r>
      <w:r w:rsidR="00E640DB">
        <w:rPr>
          <w:lang w:val="id-ID"/>
        </w:rPr>
        <w:t>.</w:t>
      </w:r>
    </w:p>
    <w:p w14:paraId="60F877A8" w14:textId="77777777" w:rsidR="00582A0D" w:rsidRDefault="00E640DB" w:rsidP="00997FA4">
      <w:pPr>
        <w:jc w:val="both"/>
        <w:rPr>
          <w:lang w:val="id-ID"/>
        </w:rPr>
      </w:pPr>
      <w:r>
        <w:rPr>
          <w:lang w:val="id-ID"/>
        </w:rPr>
        <w:t xml:space="preserve">     </w:t>
      </w:r>
    </w:p>
    <w:p w14:paraId="371364CA" w14:textId="77777777" w:rsidR="00DF6505" w:rsidRDefault="00997FA4" w:rsidP="00997FA4">
      <w:pPr>
        <w:jc w:val="both"/>
        <w:rPr>
          <w:lang w:val="id-ID"/>
        </w:rPr>
      </w:pPr>
      <w:r w:rsidRPr="00997FA4">
        <w:rPr>
          <w:lang w:val="id-ID"/>
        </w:rPr>
        <w:t>For goodness of fit test measured by coefficient of determination or R square (R2) = 0.106448, it can be interpreted that variation of change and fluctuation of company value (TOBIN) can be explained by the growth variable of company (FG), CAR, NPL, LDR, BOPO , the growth of DPK (DG) and profitability (ROA) of 10.65 percent, while the rest, which is 89.35 percent can be explained by other variables outside the random effects model applied in the study. For the adjusted coefficient of determination (R2 adjusted) yields a number of 0.0658 which means that after considering the degree of freedom of the random effect model used, all independent variables used in this study can e</w:t>
      </w:r>
      <w:r w:rsidR="00F25F05">
        <w:rPr>
          <w:lang w:val="id-ID"/>
        </w:rPr>
        <w:t>xplain the changes that occur to</w:t>
      </w:r>
      <w:r w:rsidRPr="00997FA4">
        <w:rPr>
          <w:lang w:val="id-ID"/>
        </w:rPr>
        <w:t xml:space="preserve"> t</w:t>
      </w:r>
      <w:r w:rsidR="00F25F05">
        <w:rPr>
          <w:lang w:val="id-ID"/>
        </w:rPr>
        <w:t>he company value (TOBIN) proxie</w:t>
      </w:r>
      <w:r w:rsidRPr="00997FA4">
        <w:rPr>
          <w:lang w:val="id-ID"/>
        </w:rPr>
        <w:t xml:space="preserve"> in the price banking stocks during the period 2010-2015 amounted to 6.58 percent.</w:t>
      </w:r>
    </w:p>
    <w:p w14:paraId="7E0E5D6A" w14:textId="77777777" w:rsidR="008A290B" w:rsidRDefault="00997FA4" w:rsidP="00997FA4">
      <w:pPr>
        <w:jc w:val="both"/>
        <w:rPr>
          <w:lang w:val="id-ID"/>
        </w:rPr>
      </w:pPr>
      <w:r w:rsidRPr="00997FA4">
        <w:rPr>
          <w:lang w:val="id-ID"/>
        </w:rPr>
        <w:t>In Figure 1., try to elaborate the summary of the research results. Where: Model 1 = Indirect Effect, with dotted line. Model 2 = Direct Effect, with full line, Sig = Significant, T Sig = Not Significant</w:t>
      </w:r>
      <w:r w:rsidR="00303879">
        <w:rPr>
          <w:lang w:val="id-ID"/>
        </w:rPr>
        <w:t>.</w:t>
      </w:r>
    </w:p>
    <w:p w14:paraId="0822A904" w14:textId="77777777" w:rsidR="003431C1" w:rsidRDefault="00303879" w:rsidP="00E640DB">
      <w:pPr>
        <w:jc w:val="both"/>
        <w:rPr>
          <w:b/>
          <w:lang w:val="id-ID"/>
        </w:rPr>
      </w:pPr>
      <w:r>
        <w:rPr>
          <w:lang w:val="id-ID"/>
        </w:rPr>
        <w:t xml:space="preserve">     </w:t>
      </w:r>
    </w:p>
    <w:p w14:paraId="6C1782A5" w14:textId="77777777" w:rsidR="003F3C32" w:rsidRDefault="003F3C32" w:rsidP="00DF6505">
      <w:pPr>
        <w:jc w:val="both"/>
        <w:rPr>
          <w:b/>
          <w:color w:val="E36C0A"/>
          <w:lang w:val="id-ID"/>
        </w:rPr>
      </w:pPr>
    </w:p>
    <w:p w14:paraId="5CFBEAC7" w14:textId="77777777" w:rsidR="003F3C32" w:rsidRDefault="003F3C32" w:rsidP="00DF6505">
      <w:pPr>
        <w:jc w:val="both"/>
        <w:rPr>
          <w:b/>
          <w:color w:val="E36C0A"/>
          <w:lang w:val="id-ID"/>
        </w:rPr>
      </w:pPr>
    </w:p>
    <w:p w14:paraId="476AB16E" w14:textId="77777777" w:rsidR="003F3C32" w:rsidRDefault="003F3C32" w:rsidP="00DF6505">
      <w:pPr>
        <w:jc w:val="both"/>
        <w:rPr>
          <w:b/>
          <w:color w:val="E36C0A"/>
          <w:lang w:val="id-ID"/>
        </w:rPr>
      </w:pPr>
    </w:p>
    <w:p w14:paraId="34BABB85" w14:textId="77777777" w:rsidR="003431C1" w:rsidRDefault="00DF6505" w:rsidP="00DF6505">
      <w:pPr>
        <w:jc w:val="both"/>
        <w:rPr>
          <w:b/>
          <w:lang w:val="id-ID"/>
        </w:rPr>
      </w:pPr>
      <w:r w:rsidRPr="00DF6505">
        <w:rPr>
          <w:b/>
          <w:color w:val="E36C0A"/>
          <w:lang w:val="id-ID"/>
        </w:rPr>
        <w:t>Figure 1</w:t>
      </w:r>
      <w:r>
        <w:rPr>
          <w:b/>
          <w:lang w:val="id-ID"/>
        </w:rPr>
        <w:t xml:space="preserve"> : </w:t>
      </w:r>
      <w:r w:rsidR="00997FA4" w:rsidRPr="00997FA4">
        <w:rPr>
          <w:b/>
          <w:lang w:val="id-ID"/>
        </w:rPr>
        <w:t>Summary of Research Results</w:t>
      </w:r>
    </w:p>
    <w:p w14:paraId="7AB8B893" w14:textId="77777777" w:rsidR="003431C1" w:rsidRDefault="003431C1" w:rsidP="00C200B5">
      <w:pPr>
        <w:ind w:left="-90"/>
        <w:jc w:val="both"/>
        <w:rPr>
          <w:lang w:val="id-ID"/>
        </w:rPr>
      </w:pPr>
    </w:p>
    <w:p w14:paraId="1B8DE8C0" w14:textId="62E4A78B" w:rsidR="00D50C0C" w:rsidRDefault="00F426E0" w:rsidP="003431C1">
      <w:pPr>
        <w:ind w:left="-90"/>
        <w:jc w:val="center"/>
        <w:rPr>
          <w:lang w:val="id-ID"/>
        </w:rPr>
      </w:pPr>
      <w:r>
        <w:rPr>
          <w:noProof/>
        </w:rPr>
        <mc:AlternateContent>
          <mc:Choice Requires="wpg">
            <w:drawing>
              <wp:anchor distT="0" distB="0" distL="114300" distR="114300" simplePos="0" relativeHeight="251663360" behindDoc="0" locked="0" layoutInCell="1" allowOverlap="1" wp14:anchorId="78FC6732" wp14:editId="0B3D6516">
                <wp:simplePos x="0" y="0"/>
                <wp:positionH relativeFrom="column">
                  <wp:posOffset>1936230</wp:posOffset>
                </wp:positionH>
                <wp:positionV relativeFrom="paragraph">
                  <wp:posOffset>2600325</wp:posOffset>
                </wp:positionV>
                <wp:extent cx="2026862" cy="171450"/>
                <wp:effectExtent l="0" t="50800" r="81915" b="31750"/>
                <wp:wrapNone/>
                <wp:docPr id="1" name="Group 1"/>
                <wp:cNvGraphicFramePr/>
                <a:graphic xmlns:a="http://schemas.openxmlformats.org/drawingml/2006/main">
                  <a:graphicData uri="http://schemas.microsoft.com/office/word/2010/wordprocessingGroup">
                    <wpg:wgp>
                      <wpg:cNvGrpSpPr/>
                      <wpg:grpSpPr>
                        <a:xfrm>
                          <a:off x="0" y="0"/>
                          <a:ext cx="2026862" cy="171450"/>
                          <a:chOff x="0" y="0"/>
                          <a:chExt cx="2026862" cy="171450"/>
                        </a:xfrm>
                      </wpg:grpSpPr>
                      <wps:wsp>
                        <wps:cNvPr id="2" name="AutoShape 18"/>
                        <wps:cNvCnPr>
                          <a:cxnSpLocks noChangeShapeType="1"/>
                        </wps:cNvCnPr>
                        <wps:spPr bwMode="auto">
                          <a:xfrm>
                            <a:off x="0" y="72737"/>
                            <a:ext cx="635" cy="952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0" y="166255"/>
                            <a:ext cx="20186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0"/>
                        <wps:cNvCnPr>
                          <a:cxnSpLocks noChangeShapeType="1"/>
                        </wps:cNvCnPr>
                        <wps:spPr bwMode="auto">
                          <a:xfrm flipV="1">
                            <a:off x="2026227" y="0"/>
                            <a:ext cx="635" cy="1714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DBB054A" id="Group 1" o:spid="_x0000_s1026" style="position:absolute;margin-left:152.45pt;margin-top:204.75pt;width:159.6pt;height:13.5pt;z-index:251663360" coordsize="2026862,171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4kv+8CAAABCwAADgAAAGRycy9lMm9Eb2MueG1s7FbJbtswEL0X6D8QvDtaLMu2EDsIvOSSNgGS&#10;9k5T1IJKJEEylo2i/94hJStxHBRF2qIoGh9kLsPhm8c3Q55f7OoKbZnSpeAzHJz5GDFORVryfIY/&#10;3a8HE4y0ITwlleBshvdM44v5+3fnjUxYKApRpUwhcMJ10sgZLoyRiedpWrCa6DMhGYfJTKiaGOiq&#10;3EsVacB7XXmh78deI1QqlaBMaxhdtpN47vxnGaPmJss0M6iaYcBm3Fe578Z+vfk5SXJFZFHSDgZ5&#10;BYqalBw27V0tiSHoQZUnruqSKqFFZs6oqD2RZSVlLgaIJvCfRXOlxIN0seRJk8ueJqD2GU+vdks/&#10;bm8VKlM4O4w4qeGI3K4osNQ0Mk/A4krJO3mruoG87dlod5mq7T/EgXaO1H1PKtsZRGEw9MN4EocY&#10;UZgLxkE06linBRzNyTJarH680Dts61l0PZhGgoD0I0f61zi6K4hkjnptGeg4gihaji4fjHAmKJi0&#10;RDmzBb9Vlg+643fyWtAvGnGxKAjPmbO+30sg2FEL6J8ssR0NFKNN80GkYENgAyeoFykeh+PhuNXu&#10;geZ4OGopno7CluGeKJJIpc0VEzWyjRnWRpEyL8xCcA4ZIlTgtiLba23gkGHhYYENhot1WVUuUSqO&#10;GsA/9WEHO6VFVaZ21nVUvllUCm2JzTX3sxDB25EZaJqnzlvBSLrq2oaUVdsG+4pbfxAZ4OlabTJ9&#10;nfrT1WQ1iQZRGK8Gkb9cDi7Xi2gQr4PxaDlcLhbL4JuFFkRJUaYp4xbdIbGD6OdE0ZWYNiX71O55&#10;8I69uxAB7OHfgXbHa0/UJpFONiLduwRy46DTdviPC3b4gmCnf0GwQRyHo9GxYqHgTeK4U62rCW+K&#10;fVNsdKrY0InjqF7+9hKLsqqUn21ttgWnu8/s1RWGY4xOb7W+3D7eaP+iepFxN5JRJdxRFcO2vNcs&#10;xahi8JyzrbaC/xcV2T0o4J3lCnn3JrQPuad9aD99uc6/AwAA//8DAFBLAwQUAAYACAAAACEAH4HN&#10;7eIAAAALAQAADwAAAGRycy9kb3ducmV2LnhtbEyPy07DMBBF90j8gzVI7Kid5iEa4lRVBawqJFok&#10;xG4aT5OosR3FbpL+PWZFlzNzdOfcYj3rjo00uNYaCdFCACNTWdWaWsLX4e3pGZjzaBR21pCEKzlY&#10;l/d3BebKTuaTxr2vWQgxLkcJjfd9zrmrGtLoFrYnE24nO2j0YRxqrgacQrju+FKIjGtsTfjQYE/b&#10;hqrz/qIlvE84beLoddydT9vrzyH9+N5FJOXjw7x5AeZp9v8w/OkHdSiD09FejHKskxCLZBVQCYlY&#10;pcACkS2TCNgxbOIsBV4W/LZD+QsAAP//AwBQSwECLQAUAAYACAAAACEA5JnDwPsAAADhAQAAEwAA&#10;AAAAAAAAAAAAAAAAAAAAW0NvbnRlbnRfVHlwZXNdLnhtbFBLAQItABQABgAIAAAAIQAjsmrh1wAA&#10;AJQBAAALAAAAAAAAAAAAAAAAACwBAABfcmVscy8ucmVsc1BLAQItABQABgAIAAAAIQA4niS/7wIA&#10;AAELAAAOAAAAAAAAAAAAAAAAACwCAABkcnMvZTJvRG9jLnhtbFBLAQItABQABgAIAAAAIQAfgc3t&#10;4gAAAAsBAAAPAAAAAAAAAAAAAAAAAEcFAABkcnMvZG93bnJldi54bWxQSwUGAAAAAAQABADzAAAA&#10;VgYAAAAA&#10;">
                <v:shapetype id="_x0000_t32" coordsize="21600,21600" o:spt="32" o:oned="t" path="m0,0l21600,21600e" filled="f">
                  <v:path arrowok="t" fillok="f" o:connecttype="none"/>
                  <o:lock v:ext="edit" shapetype="t"/>
                </v:shapetype>
                <v:shape id="AutoShape 18" o:spid="_x0000_s1027" type="#_x0000_t32" style="position:absolute;top:72737;width:635;height:952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s0qdr4AAADaAAAADwAAAGRycy9kb3ducmV2LnhtbESPzQrCMBCE74LvEFbwpqkKItUoKghe&#10;PPhz8bY0a1NsNrWJtb69EQSPw8x8wyxWrS1FQ7UvHCsYDRMQxJnTBecKLufdYAbCB2SNpWNS8CYP&#10;q2W3s8BUuxcfqTmFXEQI+xQVmBCqVEqfGbLoh64ijt7N1RZDlHUudY2vCLelHCfJVFosOC4YrGhr&#10;KLufnlaBrbR9HJzR13sxKTe0v603SaNUv9eu5yACteEf/rX3WsEYvlfiDZDLD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WzSp2vgAAANoAAAAPAAAAAAAAAAAAAAAAAKEC&#10;AABkcnMvZG93bnJldi54bWxQSwUGAAAAAAQABAD5AAAAjAMAAAAA&#10;" strokeweight="1.5pt"/>
                <v:shape id="AutoShape 19" o:spid="_x0000_s1028" type="#_x0000_t32" style="position:absolute;top:166255;width:201866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5gY/tvgAAANoAAAAPAAAAAAAAAAAAAAAAAKEC&#10;AABkcnMvZG93bnJldi54bWxQSwUGAAAAAAQABAD5AAAAjAMAAAAA&#10;" strokeweight="1.5pt"/>
                <v:shape id="AutoShape 20" o:spid="_x0000_s1029" type="#_x0000_t32" style="position:absolute;left:2026227;width:635;height:1714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XwgdsMAAADaAAAADwAAAGRycy9kb3ducmV2LnhtbESPQWsCMRSE70L/Q3hCL1KzWpG6GqVU&#10;hB7r1kN7e2yem9XkZd1Ed/vvm4LQ4zAz3zCrTe+suFEbas8KJuMMBHHpdc2VgsPn7ukFRIjIGq1n&#10;UvBDATbrh8EKc+073tOtiJVIEA45KjAxNrmUoTTkMIx9Q5y8o28dxiTbSuoWuwR3Vk6zbC4d1pwW&#10;DDb0Zqg8F1en4MN/zbbbBVnfFZfenJ5HU/tNSj0O+9cliEh9/A/f2+9awQz+rqQbI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18IHbDAAAA2gAAAA8AAAAAAAAAAAAA&#10;AAAAoQIAAGRycy9kb3ducmV2LnhtbFBLBQYAAAAABAAEAPkAAACRAwAAAAA=&#10;" strokeweight="1.5pt">
                  <v:stroke endarrow="block"/>
                </v:shape>
              </v:group>
            </w:pict>
          </mc:Fallback>
        </mc:AlternateContent>
      </w:r>
      <w:r w:rsidR="001F5D6A" w:rsidRPr="003C5FF8">
        <w:rPr>
          <w:noProof/>
        </w:rPr>
        <mc:AlternateContent>
          <mc:Choice Requires="wpg">
            <w:drawing>
              <wp:inline distT="0" distB="0" distL="0" distR="0" wp14:anchorId="1F23A64F" wp14:editId="6F905F7D">
                <wp:extent cx="2738120" cy="3986762"/>
                <wp:effectExtent l="0" t="0" r="30480" b="1270"/>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8120" cy="3986762"/>
                          <a:chOff x="2082772" y="457970"/>
                          <a:chExt cx="2583935" cy="3780231"/>
                        </a:xfrm>
                      </wpg:grpSpPr>
                      <wps:wsp>
                        <wps:cNvPr id="15" name="Text Box 11"/>
                        <wps:cNvSpPr txBox="1"/>
                        <wps:spPr>
                          <a:xfrm>
                            <a:off x="2327426" y="1701921"/>
                            <a:ext cx="897931" cy="319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74C7D" w14:textId="77777777" w:rsidR="00A40E33" w:rsidRDefault="00A40E33" w:rsidP="001F5D6A">
                              <w:pPr>
                                <w:pStyle w:val="NormalWeb"/>
                                <w:spacing w:before="0" w:beforeAutospacing="0" w:after="0" w:afterAutospacing="0"/>
                              </w:pPr>
                              <w:r>
                                <w:rPr>
                                  <w:rFonts w:eastAsia="Times New Roman"/>
                                  <w:b/>
                                  <w:bCs/>
                                  <w:color w:val="FF0000"/>
                                  <w:kern w:val="24"/>
                                  <w:sz w:val="20"/>
                                  <w:szCs w:val="20"/>
                                  <w:lang w:val="id-ID"/>
                                </w:rPr>
                                <w:t>-0.069874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2082772" y="457970"/>
                            <a:ext cx="2583935" cy="3780231"/>
                            <a:chOff x="2082772" y="457970"/>
                            <a:chExt cx="2583935" cy="3780231"/>
                          </a:xfrm>
                        </wpg:grpSpPr>
                        <wps:wsp>
                          <wps:cNvPr id="17" name="Text Box 12"/>
                          <wps:cNvSpPr txBox="1"/>
                          <wps:spPr>
                            <a:xfrm>
                              <a:off x="2588325" y="2210810"/>
                              <a:ext cx="532094" cy="2643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53043"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0.009879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8" name="Group 18"/>
                          <wpg:cNvGrpSpPr/>
                          <wpg:grpSpPr>
                            <a:xfrm>
                              <a:off x="2082772" y="457970"/>
                              <a:ext cx="2583935" cy="3780231"/>
                              <a:chOff x="2082772" y="457970"/>
                              <a:chExt cx="2583935" cy="3780231"/>
                            </a:xfrm>
                          </wpg:grpSpPr>
                          <wps:wsp>
                            <wps:cNvPr id="19" name="Text Box 53"/>
                            <wps:cNvSpPr txBox="1"/>
                            <wps:spPr>
                              <a:xfrm>
                                <a:off x="2588325" y="3058958"/>
                                <a:ext cx="588266" cy="243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2B402"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0.010254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2082772" y="457970"/>
                                <a:ext cx="2583935" cy="3780231"/>
                                <a:chOff x="2082772" y="457970"/>
                                <a:chExt cx="2583935" cy="3780231"/>
                              </a:xfrm>
                            </wpg:grpSpPr>
                            <wpg:grpSp>
                              <wpg:cNvPr id="21" name="Group 21"/>
                              <wpg:cNvGrpSpPr/>
                              <wpg:grpSpPr>
                                <a:xfrm>
                                  <a:off x="2082772" y="457970"/>
                                  <a:ext cx="2583935" cy="3731843"/>
                                  <a:chOff x="2082772" y="457970"/>
                                  <a:chExt cx="2583935" cy="3731992"/>
                                </a:xfrm>
                              </wpg:grpSpPr>
                              <wps:wsp>
                                <wps:cNvPr id="29" name="Text Box 30"/>
                                <wps:cNvSpPr txBox="1"/>
                                <wps:spPr>
                                  <a:xfrm>
                                    <a:off x="2435290" y="3681058"/>
                                    <a:ext cx="737600" cy="24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C6520"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-0.035302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2082772" y="457970"/>
                                    <a:ext cx="2583935" cy="3731992"/>
                                    <a:chOff x="2082772" y="457970"/>
                                    <a:chExt cx="2583935" cy="3731992"/>
                                  </a:xfrm>
                                </wpg:grpSpPr>
                                <wps:wsp>
                                  <wps:cNvPr id="31" name="Text Box 2"/>
                                  <wps:cNvSpPr txBox="1"/>
                                  <wps:spPr>
                                    <a:xfrm>
                                      <a:off x="2588325" y="457970"/>
                                      <a:ext cx="561725" cy="3392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6660"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0.038539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082772" y="740697"/>
                                      <a:ext cx="2583935" cy="3449265"/>
                                      <a:chOff x="2082772" y="740697"/>
                                      <a:chExt cx="2583935" cy="3449265"/>
                                    </a:xfrm>
                                  </wpg:grpSpPr>
                                  <wpg:grpSp>
                                    <wpg:cNvPr id="33" name="Group 33"/>
                                    <wpg:cNvGrpSpPr/>
                                    <wpg:grpSpPr>
                                      <a:xfrm>
                                        <a:off x="2082772" y="740697"/>
                                        <a:ext cx="2583935" cy="3449265"/>
                                        <a:chOff x="2082773" y="740697"/>
                                        <a:chExt cx="2584076" cy="3449570"/>
                                      </a:xfrm>
                                    </wpg:grpSpPr>
                                    <wps:wsp>
                                      <wps:cNvPr id="35" name="Oval 35"/>
                                      <wps:cNvSpPr>
                                        <a:spLocks noChangeArrowheads="1"/>
                                      </wps:cNvSpPr>
                                      <wps:spPr bwMode="auto">
                                        <a:xfrm>
                                          <a:off x="3992742" y="2437207"/>
                                          <a:ext cx="674107" cy="395852"/>
                                        </a:xfrm>
                                        <a:prstGeom prst="ellipse">
                                          <a:avLst/>
                                        </a:prstGeom>
                                        <a:solidFill>
                                          <a:srgbClr val="FFFF00"/>
                                        </a:solidFill>
                                        <a:ln w="19050">
                                          <a:solidFill>
                                            <a:srgbClr val="000000"/>
                                          </a:solidFill>
                                          <a:round/>
                                          <a:headEnd/>
                                          <a:tailEnd/>
                                        </a:ln>
                                      </wps:spPr>
                                      <wps:txbx>
                                        <w:txbxContent>
                                          <w:p w14:paraId="0E7B22A4"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TOBIN</w:t>
                                            </w:r>
                                          </w:p>
                                        </w:txbxContent>
                                      </wps:txbx>
                                      <wps:bodyPr rot="0" vert="horz" wrap="square" lIns="91440" tIns="45720" rIns="91440" bIns="45720" anchor="t" anchorCtr="0" upright="1">
                                        <a:noAutofit/>
                                      </wps:bodyPr>
                                    </wps:wsp>
                                    <wps:wsp>
                                      <wps:cNvPr id="36" name="Oval 36"/>
                                      <wps:cNvSpPr>
                                        <a:spLocks noChangeArrowheads="1"/>
                                      </wps:cNvSpPr>
                                      <wps:spPr bwMode="auto">
                                        <a:xfrm>
                                          <a:off x="3037757" y="2493757"/>
                                          <a:ext cx="617932" cy="282752"/>
                                        </a:xfrm>
                                        <a:prstGeom prst="ellipse">
                                          <a:avLst/>
                                        </a:prstGeom>
                                        <a:solidFill>
                                          <a:srgbClr val="FFFF00"/>
                                        </a:solidFill>
                                        <a:ln w="19050">
                                          <a:solidFill>
                                            <a:srgbClr val="000000"/>
                                          </a:solidFill>
                                          <a:round/>
                                          <a:headEnd/>
                                          <a:tailEnd/>
                                        </a:ln>
                                      </wps:spPr>
                                      <wps:txbx>
                                        <w:txbxContent>
                                          <w:p w14:paraId="45F81010"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ROA</w:t>
                                            </w:r>
                                          </w:p>
                                          <w:p w14:paraId="588D0FA6" w14:textId="77777777" w:rsidR="00A40E33" w:rsidRDefault="00A40E33" w:rsidP="001F5D6A">
                                            <w:pPr>
                                              <w:pStyle w:val="NormalWeb"/>
                                              <w:spacing w:before="0" w:beforeAutospacing="0" w:after="0" w:afterAutospacing="0"/>
                                            </w:pPr>
                                            <w:r>
                                              <w:rPr>
                                                <w:rFonts w:eastAsia="Times New Roman"/>
                                                <w:color w:val="000000"/>
                                                <w:kern w:val="24"/>
                                                <w:sz w:val="56"/>
                                                <w:szCs w:val="56"/>
                                              </w:rPr>
                                              <w:t> </w:t>
                                            </w:r>
                                          </w:p>
                                        </w:txbxContent>
                                      </wps:txbx>
                                      <wps:bodyPr rot="0" vert="horz" wrap="square" lIns="91440" tIns="45720" rIns="91440" bIns="45720" anchor="t" anchorCtr="0" upright="1">
                                        <a:noAutofit/>
                                      </wps:bodyPr>
                                    </wps:wsp>
                                    <wps:wsp>
                                      <wps:cNvPr id="37" name="AutoShape 433"/>
                                      <wps:cNvCnPr>
                                        <a:cxnSpLocks noChangeShapeType="1"/>
                                        <a:endCxn id="25" idx="2"/>
                                      </wps:cNvCnPr>
                                      <wps:spPr bwMode="auto">
                                        <a:xfrm>
                                          <a:off x="3655688" y="2606858"/>
                                          <a:ext cx="308966"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38"/>
                                      <wps:cNvSpPr>
                                        <a:spLocks noChangeArrowheads="1"/>
                                      </wps:cNvSpPr>
                                      <wps:spPr bwMode="auto">
                                        <a:xfrm>
                                          <a:off x="2082773" y="740697"/>
                                          <a:ext cx="449404" cy="276104"/>
                                        </a:xfrm>
                                        <a:prstGeom prst="rect">
                                          <a:avLst/>
                                        </a:prstGeom>
                                        <a:solidFill>
                                          <a:srgbClr val="FFFF00"/>
                                        </a:solidFill>
                                        <a:ln w="19050">
                                          <a:solidFill>
                                            <a:srgbClr val="000000"/>
                                          </a:solidFill>
                                          <a:miter lim="800000"/>
                                          <a:headEnd/>
                                          <a:tailEnd/>
                                        </a:ln>
                                      </wps:spPr>
                                      <wps:txbx>
                                        <w:txbxContent>
                                          <w:p w14:paraId="1D2A470A"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FG</w:t>
                                            </w:r>
                                          </w:p>
                                        </w:txbxContent>
                                      </wps:txbx>
                                      <wps:bodyPr rot="0" vert="horz" wrap="square" lIns="91440" tIns="45720" rIns="91440" bIns="45720" anchor="t" anchorCtr="0" upright="1">
                                        <a:noAutofit/>
                                      </wps:bodyPr>
                                    </wps:wsp>
                                    <wps:wsp>
                                      <wps:cNvPr id="39" name="Rectangle 39"/>
                                      <wps:cNvSpPr>
                                        <a:spLocks noChangeArrowheads="1"/>
                                      </wps:cNvSpPr>
                                      <wps:spPr bwMode="auto">
                                        <a:xfrm>
                                          <a:off x="2082774" y="1272877"/>
                                          <a:ext cx="449404" cy="259525"/>
                                        </a:xfrm>
                                        <a:prstGeom prst="rect">
                                          <a:avLst/>
                                        </a:prstGeom>
                                        <a:solidFill>
                                          <a:srgbClr val="FFFF00"/>
                                        </a:solidFill>
                                        <a:ln w="19050">
                                          <a:solidFill>
                                            <a:srgbClr val="000000"/>
                                          </a:solidFill>
                                          <a:miter lim="800000"/>
                                          <a:headEnd/>
                                          <a:tailEnd/>
                                        </a:ln>
                                      </wps:spPr>
                                      <wps:txbx>
                                        <w:txbxContent>
                                          <w:p w14:paraId="51579465"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rPr>
                                              <w:t>CAR</w:t>
                                            </w:r>
                                          </w:p>
                                        </w:txbxContent>
                                      </wps:txbx>
                                      <wps:bodyPr rot="0" vert="horz" wrap="square" lIns="91440" tIns="45720" rIns="91440" bIns="45720" anchor="t" anchorCtr="0" upright="1">
                                        <a:noAutofit/>
                                      </wps:bodyPr>
                                    </wps:wsp>
                                    <wps:wsp>
                                      <wps:cNvPr id="40" name="Rectangle 40"/>
                                      <wps:cNvSpPr>
                                        <a:spLocks noChangeArrowheads="1"/>
                                      </wps:cNvSpPr>
                                      <wps:spPr bwMode="auto">
                                        <a:xfrm>
                                          <a:off x="2082774" y="1968062"/>
                                          <a:ext cx="449404" cy="242944"/>
                                        </a:xfrm>
                                        <a:prstGeom prst="rect">
                                          <a:avLst/>
                                        </a:prstGeom>
                                        <a:solidFill>
                                          <a:srgbClr val="FFFF00"/>
                                        </a:solidFill>
                                        <a:ln w="19050">
                                          <a:solidFill>
                                            <a:srgbClr val="000000"/>
                                          </a:solidFill>
                                          <a:miter lim="800000"/>
                                          <a:headEnd/>
                                          <a:tailEnd/>
                                        </a:ln>
                                      </wps:spPr>
                                      <wps:txbx>
                                        <w:txbxContent>
                                          <w:p w14:paraId="6D40BE4B"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NPL</w:t>
                                            </w:r>
                                          </w:p>
                                        </w:txbxContent>
                                      </wps:txbx>
                                      <wps:bodyPr rot="0" vert="horz" wrap="square" lIns="91440" tIns="45720" rIns="91440" bIns="45720" anchor="t" anchorCtr="0" upright="1">
                                        <a:noAutofit/>
                                      </wps:bodyPr>
                                    </wps:wsp>
                                    <wps:wsp>
                                      <wps:cNvPr id="41" name="Rectangle 41"/>
                                      <wps:cNvSpPr>
                                        <a:spLocks noChangeArrowheads="1"/>
                                      </wps:cNvSpPr>
                                      <wps:spPr bwMode="auto">
                                        <a:xfrm>
                                          <a:off x="2082773" y="2550308"/>
                                          <a:ext cx="449404" cy="395852"/>
                                        </a:xfrm>
                                        <a:prstGeom prst="rect">
                                          <a:avLst/>
                                        </a:prstGeom>
                                        <a:solidFill>
                                          <a:srgbClr val="FFFF00"/>
                                        </a:solidFill>
                                        <a:ln w="19050">
                                          <a:solidFill>
                                            <a:srgbClr val="000000"/>
                                          </a:solidFill>
                                          <a:miter lim="800000"/>
                                          <a:headEnd/>
                                          <a:tailEnd/>
                                        </a:ln>
                                      </wps:spPr>
                                      <wps:txbx>
                                        <w:txbxContent>
                                          <w:p w14:paraId="0511144F"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Loan (</w:t>
                                            </w:r>
                                            <w:r>
                                              <w:rPr>
                                                <w:rFonts w:eastAsia="Times New Roman"/>
                                                <w:b/>
                                                <w:bCs/>
                                                <w:color w:val="000000"/>
                                                <w:kern w:val="24"/>
                                                <w:sz w:val="20"/>
                                                <w:szCs w:val="20"/>
                                              </w:rPr>
                                              <w:t>LDR</w:t>
                                            </w:r>
                                            <w:r>
                                              <w:rPr>
                                                <w:rFonts w:eastAsia="Times New Roman"/>
                                                <w:b/>
                                                <w:bCs/>
                                                <w:color w:val="000000"/>
                                                <w:kern w:val="24"/>
                                                <w:sz w:val="20"/>
                                                <w:szCs w:val="20"/>
                                                <w:lang w:val="id-ID"/>
                                              </w:rPr>
                                              <w:t>)</w:t>
                                            </w:r>
                                          </w:p>
                                        </w:txbxContent>
                                      </wps:txbx>
                                      <wps:bodyPr rot="0" vert="horz" wrap="square" lIns="91440" tIns="45720" rIns="91440" bIns="45720" anchor="t" anchorCtr="0" upright="1">
                                        <a:noAutofit/>
                                      </wps:bodyPr>
                                    </wps:wsp>
                                    <wps:wsp>
                                      <wps:cNvPr id="42" name="Rectangle 42"/>
                                      <wps:cNvSpPr>
                                        <a:spLocks noChangeArrowheads="1"/>
                                      </wps:cNvSpPr>
                                      <wps:spPr bwMode="auto">
                                        <a:xfrm>
                                          <a:off x="2082774" y="3365240"/>
                                          <a:ext cx="449404" cy="202973"/>
                                        </a:xfrm>
                                        <a:prstGeom prst="rect">
                                          <a:avLst/>
                                        </a:prstGeom>
                                        <a:solidFill>
                                          <a:srgbClr val="FFFF00"/>
                                        </a:solidFill>
                                        <a:ln w="19050">
                                          <a:solidFill>
                                            <a:srgbClr val="000000"/>
                                          </a:solidFill>
                                          <a:miter lim="800000"/>
                                          <a:headEnd/>
                                          <a:tailEnd/>
                                        </a:ln>
                                      </wps:spPr>
                                      <wps:txbx>
                                        <w:txbxContent>
                                          <w:p w14:paraId="4C338F29"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BOPO</w:t>
                                            </w:r>
                                          </w:p>
                                        </w:txbxContent>
                                      </wps:txbx>
                                      <wps:bodyPr rot="0" vert="horz" wrap="square" lIns="91440" tIns="45720" rIns="91440" bIns="45720" anchor="t" anchorCtr="0" upright="1">
                                        <a:noAutofit/>
                                      </wps:bodyPr>
                                    </wps:wsp>
                                    <wps:wsp>
                                      <wps:cNvPr id="43" name="Rectangle 43"/>
                                      <wps:cNvSpPr>
                                        <a:spLocks noChangeArrowheads="1"/>
                                      </wps:cNvSpPr>
                                      <wps:spPr bwMode="auto">
                                        <a:xfrm>
                                          <a:off x="2082774" y="3987293"/>
                                          <a:ext cx="449404" cy="202974"/>
                                        </a:xfrm>
                                        <a:prstGeom prst="rect">
                                          <a:avLst/>
                                        </a:prstGeom>
                                        <a:solidFill>
                                          <a:srgbClr val="FFFF00"/>
                                        </a:solidFill>
                                        <a:ln w="19050">
                                          <a:solidFill>
                                            <a:srgbClr val="000000"/>
                                          </a:solidFill>
                                          <a:miter lim="800000"/>
                                          <a:headEnd/>
                                          <a:tailEnd/>
                                        </a:ln>
                                      </wps:spPr>
                                      <wps:txbx>
                                        <w:txbxContent>
                                          <w:p w14:paraId="52161C20"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DG</w:t>
                                            </w:r>
                                          </w:p>
                                        </w:txbxContent>
                                      </wps:txbx>
                                      <wps:bodyPr rot="0" vert="horz" wrap="square" lIns="91440" tIns="45720" rIns="91440" bIns="45720" anchor="t" anchorCtr="0" upright="1">
                                        <a:noAutofit/>
                                      </wps:bodyPr>
                                    </wps:wsp>
                                    <wps:wsp>
                                      <wps:cNvPr id="44" name="AutoShape 443"/>
                                      <wps:cNvCnPr>
                                        <a:cxnSpLocks noChangeShapeType="1"/>
                                      </wps:cNvCnPr>
                                      <wps:spPr bwMode="auto">
                                        <a:xfrm>
                                          <a:off x="2532177" y="797247"/>
                                          <a:ext cx="842633" cy="125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444"/>
                                      <wps:cNvCnPr>
                                        <a:cxnSpLocks noChangeShapeType="1"/>
                                      </wps:cNvCnPr>
                                      <wps:spPr bwMode="auto">
                                        <a:xfrm rot="5400000">
                                          <a:off x="2555455" y="1616604"/>
                                          <a:ext cx="1639960" cy="1249"/>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6" name="AutoShape 445"/>
                                      <wps:cNvCnPr>
                                        <a:cxnSpLocks noChangeShapeType="1"/>
                                      </wps:cNvCnPr>
                                      <wps:spPr bwMode="auto">
                                        <a:xfrm>
                                          <a:off x="2532177" y="966898"/>
                                          <a:ext cx="2022320" cy="125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46"/>
                                      <wps:cNvCnPr>
                                        <a:cxnSpLocks noChangeShapeType="1"/>
                                      </wps:cNvCnPr>
                                      <wps:spPr bwMode="auto">
                                        <a:xfrm rot="5400000">
                                          <a:off x="3880523" y="1640873"/>
                                          <a:ext cx="1357208" cy="92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47"/>
                                      <wps:cNvCnPr>
                                        <a:cxnSpLocks noChangeShapeType="1"/>
                                      </wps:cNvCnPr>
                                      <wps:spPr bwMode="auto">
                                        <a:xfrm>
                                          <a:off x="2532177" y="1419301"/>
                                          <a:ext cx="730282" cy="125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448"/>
                                      <wps:cNvCnPr>
                                        <a:cxnSpLocks noChangeShapeType="1"/>
                                      </wps:cNvCnPr>
                                      <wps:spPr bwMode="auto">
                                        <a:xfrm rot="5400000">
                                          <a:off x="2754133" y="1927627"/>
                                          <a:ext cx="1017277" cy="624"/>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0" name="AutoShape 449"/>
                                      <wps:cNvCnPr>
                                        <a:cxnSpLocks noChangeShapeType="1"/>
                                      </wps:cNvCnPr>
                                      <wps:spPr bwMode="auto">
                                        <a:xfrm>
                                          <a:off x="2532177" y="1532402"/>
                                          <a:ext cx="1853794" cy="125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50"/>
                                      <wps:cNvCnPr>
                                        <a:cxnSpLocks noChangeShapeType="1"/>
                                      </wps:cNvCnPr>
                                      <wps:spPr bwMode="auto">
                                        <a:xfrm rot="5400000">
                                          <a:off x="3990743" y="1927630"/>
                                          <a:ext cx="791705" cy="124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51"/>
                                      <wps:cNvCnPr>
                                        <a:cxnSpLocks noChangeShapeType="1"/>
                                      </wps:cNvCnPr>
                                      <wps:spPr bwMode="auto">
                                        <a:xfrm>
                                          <a:off x="2532177" y="2041355"/>
                                          <a:ext cx="617931" cy="125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452"/>
                                      <wps:cNvCnPr>
                                        <a:cxnSpLocks noChangeShapeType="1"/>
                                      </wps:cNvCnPr>
                                      <wps:spPr bwMode="auto">
                                        <a:xfrm rot="5400000">
                                          <a:off x="2924230" y="2267233"/>
                                          <a:ext cx="452404" cy="646"/>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4" name="AutoShape 453"/>
                                      <wps:cNvCnPr>
                                        <a:cxnSpLocks noChangeShapeType="1"/>
                                      </wps:cNvCnPr>
                                      <wps:spPr bwMode="auto">
                                        <a:xfrm>
                                          <a:off x="2532177" y="2154455"/>
                                          <a:ext cx="1685267" cy="125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54"/>
                                      <wps:cNvCnPr>
                                        <a:cxnSpLocks noChangeShapeType="1"/>
                                      </wps:cNvCnPr>
                                      <wps:spPr bwMode="auto">
                                        <a:xfrm rot="16200000" flipH="1">
                                          <a:off x="4076070" y="2295830"/>
                                          <a:ext cx="282752" cy="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455"/>
                                      <wps:cNvCnPr>
                                        <a:cxnSpLocks noChangeShapeType="1"/>
                                      </wps:cNvCnPr>
                                      <wps:spPr bwMode="auto">
                                        <a:xfrm>
                                          <a:off x="2532177" y="2550308"/>
                                          <a:ext cx="505580" cy="1257"/>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7" name="AutoShape 458"/>
                                      <wps:cNvCnPr>
                                        <a:cxnSpLocks noChangeShapeType="1"/>
                                      </wps:cNvCnPr>
                                      <wps:spPr bwMode="auto">
                                        <a:xfrm rot="5400000" flipH="1" flipV="1">
                                          <a:off x="4131432" y="3200324"/>
                                          <a:ext cx="622054" cy="62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463"/>
                                      <wps:cNvCnPr>
                                        <a:cxnSpLocks noChangeShapeType="1"/>
                                      </wps:cNvCnPr>
                                      <wps:spPr bwMode="auto">
                                        <a:xfrm>
                                          <a:off x="2532177" y="3398562"/>
                                          <a:ext cx="730282" cy="125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464"/>
                                      <wps:cNvCnPr>
                                        <a:cxnSpLocks noChangeShapeType="1"/>
                                      </wps:cNvCnPr>
                                      <wps:spPr bwMode="auto">
                                        <a:xfrm rot="5400000" flipH="1" flipV="1">
                                          <a:off x="3007356" y="3144090"/>
                                          <a:ext cx="509584" cy="624"/>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0" name="AutoShape 465"/>
                                      <wps:cNvCnPr>
                                        <a:cxnSpLocks noChangeShapeType="1"/>
                                      </wps:cNvCnPr>
                                      <wps:spPr bwMode="auto">
                                        <a:xfrm flipV="1">
                                          <a:off x="2532177" y="3511663"/>
                                          <a:ext cx="1909969" cy="222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66"/>
                                      <wps:cNvCnPr>
                                        <a:cxnSpLocks noChangeShapeType="1"/>
                                      </wps:cNvCnPr>
                                      <wps:spPr bwMode="auto">
                                        <a:xfrm rot="5400000" flipH="1" flipV="1">
                                          <a:off x="2837581" y="3483390"/>
                                          <a:ext cx="1075085" cy="624"/>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2" name="AutoShape 476"/>
                                      <wps:cNvCnPr>
                                        <a:cxnSpLocks noChangeShapeType="1"/>
                                      </wps:cNvCnPr>
                                      <wps:spPr bwMode="auto">
                                        <a:xfrm>
                                          <a:off x="2532177" y="4020616"/>
                                          <a:ext cx="842633" cy="125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477"/>
                                      <wps:cNvCnPr>
                                        <a:cxnSpLocks noChangeShapeType="1"/>
                                      </wps:cNvCnPr>
                                      <wps:spPr bwMode="auto">
                                        <a:xfrm rot="5400000" flipH="1" flipV="1">
                                          <a:off x="3960344" y="3483392"/>
                                          <a:ext cx="1300658" cy="124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479"/>
                                      <wps:cNvCnPr>
                                        <a:cxnSpLocks noChangeShapeType="1"/>
                                      </wps:cNvCnPr>
                                      <wps:spPr bwMode="auto">
                                        <a:xfrm flipV="1">
                                          <a:off x="2532177" y="4133717"/>
                                          <a:ext cx="2078495" cy="387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Text Box 4"/>
                                    <wps:cNvSpPr txBox="1"/>
                                    <wps:spPr>
                                      <a:xfrm>
                                        <a:off x="2111700" y="1023424"/>
                                        <a:ext cx="1094523" cy="3392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829D3" w14:textId="77777777" w:rsidR="00A40E33" w:rsidRDefault="00A40E33" w:rsidP="001F5D6A">
                                          <w:pPr>
                                            <w:pStyle w:val="NormalWeb"/>
                                            <w:spacing w:before="0" w:beforeAutospacing="0" w:after="0" w:afterAutospacing="0"/>
                                          </w:pPr>
                                          <w:r>
                                            <w:rPr>
                                              <w:rFonts w:eastAsia="Times New Roman"/>
                                              <w:b/>
                                              <w:bCs/>
                                              <w:color w:val="FF0000"/>
                                              <w:kern w:val="24"/>
                                              <w:sz w:val="20"/>
                                              <w:szCs w:val="20"/>
                                              <w:lang w:val="id-ID"/>
                                            </w:rPr>
                                            <w:t>-0.019036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s:wsp>
                              <wps:cNvPr id="22" name="Text Box 56"/>
                              <wps:cNvSpPr txBox="1"/>
                              <wps:spPr>
                                <a:xfrm>
                                  <a:off x="3711775" y="514513"/>
                                  <a:ext cx="628391" cy="382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06B47"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0.038048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57"/>
                              <wps:cNvSpPr txBox="1"/>
                              <wps:spPr>
                                <a:xfrm>
                                  <a:off x="3711775" y="1193032"/>
                                  <a:ext cx="628391" cy="30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4467C"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0.158300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58"/>
                              <wps:cNvSpPr txBox="1"/>
                              <wps:spPr>
                                <a:xfrm>
                                  <a:off x="3406063" y="1948123"/>
                                  <a:ext cx="1041189" cy="299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4A246" w14:textId="77777777" w:rsidR="00A40E33" w:rsidRDefault="00A40E33" w:rsidP="001F5D6A">
                                    <w:pPr>
                                      <w:pStyle w:val="NormalWeb"/>
                                      <w:spacing w:before="0" w:beforeAutospacing="0" w:after="0" w:afterAutospacing="0"/>
                                    </w:pPr>
                                    <w:r>
                                      <w:rPr>
                                        <w:rFonts w:eastAsia="Times New Roman"/>
                                        <w:b/>
                                        <w:bCs/>
                                        <w:color w:val="FF0000"/>
                                        <w:kern w:val="24"/>
                                        <w:sz w:val="20"/>
                                        <w:szCs w:val="20"/>
                                        <w:lang w:val="id-ID"/>
                                      </w:rPr>
                                      <w:t>-0.413841 (S</w:t>
                                    </w:r>
                                    <w:r>
                                      <w:rPr>
                                        <w:rFonts w:eastAsia="Times New Roman"/>
                                        <w:b/>
                                        <w:bCs/>
                                        <w:color w:val="FF0000"/>
                                        <w:kern w:val="24"/>
                                        <w:sz w:val="20"/>
                                        <w:szCs w:val="20"/>
                                      </w:rPr>
                                      <w:t>ig</w:t>
                                    </w:r>
                                    <w:r>
                                      <w:rPr>
                                        <w:rFonts w:eastAsia="Times New Roman"/>
                                        <w:b/>
                                        <w:bCs/>
                                        <w:color w:val="FF0000"/>
                                        <w:kern w:val="24"/>
                                        <w:sz w:val="20"/>
                                        <w:szCs w:val="20"/>
                                        <w:lang w:val="id-ID"/>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59"/>
                              <wps:cNvSpPr txBox="1"/>
                              <wps:spPr>
                                <a:xfrm>
                                  <a:off x="3655602" y="2267354"/>
                                  <a:ext cx="617897" cy="339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CF911"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0.075268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60"/>
                              <wps:cNvSpPr txBox="1"/>
                              <wps:spPr>
                                <a:xfrm>
                                  <a:off x="3298200" y="2815154"/>
                                  <a:ext cx="1186545" cy="316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D290E"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-0.065455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62"/>
                              <wps:cNvSpPr txBox="1"/>
                              <wps:spPr>
                                <a:xfrm>
                                  <a:off x="3298200" y="3248669"/>
                                  <a:ext cx="1303372" cy="282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ED0B9"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-0.036387 (T S</w:t>
                                    </w:r>
                                    <w:r>
                                      <w:rPr>
                                        <w:rFonts w:eastAsia="Times New Roman"/>
                                        <w:b/>
                                        <w:bCs/>
                                        <w:color w:val="000000"/>
                                        <w:kern w:val="24"/>
                                        <w:sz w:val="20"/>
                                        <w:szCs w:val="20"/>
                                      </w:rPr>
                                      <w:t>ig</w:t>
                                    </w:r>
                                    <w:r>
                                      <w:rPr>
                                        <w:rFonts w:eastAsia="Times New Roman"/>
                                        <w:b/>
                                        <w:bCs/>
                                        <w:color w:val="000000"/>
                                        <w:kern w:val="24"/>
                                        <w:sz w:val="20"/>
                                        <w:szCs w:val="20"/>
                                        <w:lang w:val="id-ID"/>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63"/>
                              <wps:cNvSpPr txBox="1"/>
                              <wps:spPr>
                                <a:xfrm>
                                  <a:off x="3729655" y="3898942"/>
                                  <a:ext cx="617897" cy="339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DA0B1"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1.473858 (T Sig)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wgp>
                  </a:graphicData>
                </a:graphic>
              </wp:inline>
            </w:drawing>
          </mc:Choice>
          <mc:Fallback>
            <w:pict>
              <v:group w14:anchorId="1F23A64F" id="Group 3" o:spid="_x0000_s1035" style="width:215.6pt;height:313.9pt;mso-position-horizontal-relative:char;mso-position-vertical-relative:line" coordorigin="2082772,457970" coordsize="2583935,37802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9yhpYNAABikAAADgAAAGRycy9lMm9Eb2MueG1s7F1dc9u4FX3vTP8DR++JCYCfmjg7rh1vO5Pu&#10;ZjZp95mWqI9ZiWRJOlLa6X/vuQAJfkiyLNtS5AZ+SCiJogjw3oNz77kA3v20Xi6sr3FezNPkcsDe&#10;2gMrTkbpeJ5MLwf/+HL7JhhYRRkl42iRJvHl4FtcDH56/+c/vVtlw5ins3QxjnMLF0mK4Sq7HMzK&#10;MhteXBSjWbyMirdpFif4cJLmy6jEy3x6Mc6jFa6+XFxw2/YuVmk+zvJ0FBcF3r1RHw7ey+tPJvGo&#10;/HUyKeLSWlwOcG+l/DeX/97Rvxfv30XDaR5ls/mouo3oCXexjOYJflRf6iYqI+s+n29cajkf5WmR&#10;Tsq3o3R5kU4m81Es24DWMLvXmp/z9D6TbZkOV9NMdxO6ttdPT77s6Jevn3JrPsazcwZWEi3xjOTP&#10;WoL6ZpVNhzjl5zz7nH3KVQNx+DEd/VHg44v+5/R62py8nuRL+hLaaa1lp3/TnR6vS2uEN7kvAsbx&#10;bEb4TISB53tcPZbRDM+OvsftgPs+H1g4w3H90K+e22j2ob6IG4hQuNVF/MDmgtFFLqKhugd5p/rO&#10;VhmsrWg6tHheh36eRVksn1NBvVV3KG5HdegXautf0rXF5E3Rr+M06lGrXON9dL7q7GJYVN3c6zku&#10;uO9wT/YA820WcvmNaFj3YhD6IZqsOpGF6MdO86Nhlhflz3G6tOjgcpDDM6TBRl8/FqXqqfoUemJJ&#10;ejtfLPB+NFwk1upy4AnXll/Qn6BvFwmdEEs/qy5DjVONkEflt0WsLvJbPIGdSSugN6SHx9eL3Poa&#10;wTej0ShOyvqZLRKcTWdNcBOHfLE6v7mrQ76s2lH/cpqU+svLeZLmsvW92x7/Ud/yRJ0vfQI9oNpN&#10;XVCu79bSwcL6Gd+l42949Hmq0KjIRrdzPJSPUVF+inLAD5wBkIpPZ2n+74G1AjxdDop/3Ud5PLAW&#10;f0tgriFzHMIz+QI+QQ6Utz+5a3+S3C+vU/QyDAS/Jg/p/HJRH07ydPk7kPSKfhUfRckIv305KOvD&#10;61KBJpB4FF9dyZOAYFlUfkw+ZyO6NHU6mdCX9e9RnlV2VsJAf0lrB4mGPXNT59I3k/Tqvkwnc2mL&#10;1G+ql6r+hLMqMJIurHGp9jQ4Rhu6mKe6uo1dMOWHwWkXyNQexndATDR87Tjl173X4JREYHoKh+KU&#10;GwSCA/iA1JwzO2AVVNe96ApuhxhpCOy55whHPioN0wanFMj2YKaLjkfGKfXIGhc0QKVB7dlABTbc&#10;ASo5SndJlAGqZFqPFxUC1TAf1r2ngcqtWOqzgErYbhC68lE0hApAxj2MKxKoHGFzxxAqCqc0JzoD&#10;oNKs2TAqGeo07Ou5QEV0sg1UeF3hUhMNvlKgqgLUPodEQNVtcWVcx+SQggWOBLDncEjBwlDSNU2i&#10;vkOsyzehWVQmczg0O8LlIQyQ8gEeGGQfmn3hezY+V9AcBshcwBZ18w2HPANo1gGEgeYXhmb4VQeo&#10;aj87LlBVGPPqgYpyZL2knDbVZ8S67aykDnU95lMoLPOaIuRIYBqYOjMGqcMHA1MvDVNI17cZpKjc&#10;7Mkw5Tu2F/rkQk2Q1s3JOU7IPVedsTUn177ELu2guYgmFH0+tYNBCtFr8RYF5SDO3L7dGlQe3WLc&#10;DPhT+xKdFju2XwW3Ai12laKys8UnUEtIvFH28isEAQsvZV9p9kiPvVDCk5Wk17MomcZXeZ6uZnE0&#10;RkJc5eFbKUsi+EqKsO5Wf0/HELYiZJhlmrqnrgiMbpBXVNbSEUim9+zM8x2G9xSUI1Xg7oHyeLGY&#10;ZwVJQhsZb9JgZFvSxXxMGot8kU/vtBRyiz/QWzVWFO3TlBLDQruSYjofFu1r2PJv2zUgKSZj6UTU&#10;cR+q4zKaL9QxbIBUHdh8W8fRIobi2vRhDzFfVrDYqT/cZ/l8OoNIofSGR6kGp7BerUAo660EiNNY&#10;ry1834V1UkrdCQUdywdcYwZ4SAj4VfESlNQf2Ho1qhjrbSnVQitApMHJ5KvlYDhrEPg6Uer/aA21&#10;T6r/GoTl6V++ZcBXicEYnZPx9TqRmifxXyn6KsCs4FldrUaY/fDsua4XIHUuNSPbC/oJAWEHYZ2r&#10;VeNALftv5AKKMo8IQK7TJAEXTXOFIz1ZsgZprXXXKvgRsdcqZR+W+RxD2yKG7Hs5WMZjCL4xKmvo&#10;SI0Ilea+LiG409hBXi4rTf4T2uGH4EPgvEGlwIc3jn1z8+bq9tp5490y370RN9fXN+y/NCYxZzib&#10;j8dxQuNPXfXCnMcVQVT1N6peRde96J666F5dskrcYv2/vOne4KJ8kVpHJlFJvacAba3G/AZTkL1u&#10;iUqROQlyK8l5k6nVwA1m5ti1WOp7DMfKBmr+UldsPLKoYzdfOC7nWM5LFHkt5svLQaCJSTR8GgHR&#10;Q6uB8DaE6wRsy5Z1xUmV2ZBUswffL8WhlS3DWAHSDLmOwO+xkI4xu6GLocEYs+wjw6ZlqAYjrYRe&#10;qmxSsWBjzHgP5lIRiLoY8VgBYceYQy+w65LErcjs8NAxyDxgeug0yNxCZkdnnFvGXImLJ2cZ3HVt&#10;sGVypSaL1kZm8YjsRg62dI6pjRelGXrsNMbcNmad1W0Zc5XZPaExK5ohhOdyNS5sN2Zu89CXYazO&#10;bG4EhD+CMdfVGyZph/iyRTN0wr5lzO2sxylpBir2fR7KX3/AmA3NGHA9dhpkbhszMFFx5lYOT1UX&#10;VaT5gByeTMTAUQ5M1HFUdzPEfVJ5Cn3u9ELAAIkpUslIEWdcpal3I/N3TdVRZuUmKmZqdsoYR4oz&#10;PVI+kS5sEnSPnum2veDX0Zpg26YlBh7XplXJu+uoZBVx5WoGG/iz67i4LbJgj3meSsk1iM08iIle&#10;VZzGIMc8nOR4fTZu0tSnTlNjiswWZNdKloZp1GbtV2deANkhtQRqemFj9mDamKKozf6sod1A+Ak1&#10;FlCALcarc/jHM96dEC6CwHa5El2Y59iBihAbW2aCplNCGyKaEnL3nCH8QVs2UH1yqNaKYpuw6CT/&#10;8ay9Q1EaEs4cTAW3a1m+mivvYzJTUJWDGBZuZPJMr56xg4VrabFt1DrZfzyj3gnhKGFyGAWSxMJR&#10;uufxXqDJbJReUyBKEO7tm7pnSLhxgn1OgIrLLTxGiwTHc4JdyI5Ui2PLzHuLuQSu8OvZ9WcO7Q8y&#10;F1UYYCqd5BpIB63tsx3CXa1BtiAcJt0o6kdKDu6EcGRJbB/pSQ3hahpTY8t+iHVukGhRucKzzqM8&#10;aMqGhJ+ahKO8eROq4QFHN/YdUM1tkBXkDDuau6zJhleaVLipVe0uYbcDwQGVG/KOKuT/XqnwkDuc&#10;JqOCYnPu+VwVjDcI7pA4X1WvevvW+TEc3HDwvRx8m8TZWQHmSCxmF7Az1yExqAPsDNMT4A2vAtkf&#10;JC5oVTUXTLq0ETOfKWaSariJ4CcTM5mH5VLxN7AmmJv4VyROZAlfpWvSdFAbk0AVmKMGsE/HkTGk&#10;eWOSr+yZ/PhdofxBkzZc/ORcfJt2qSDzuLRlF2Rvq391bdcNYPv/r1zcmP3JzX6b6qlmLR7X7Lv5&#10;lgbq5dE/+6DPBHNoYjAYPMR7GxnFLpfxOLfdmsGfdRbdwL6aDnomMyth6ptcx2uX1p6WqQtU17r9&#10;OTxGBzXThfPxtnX3d6Rgtumg3skIfF2NuAfUhW37wgXtIlCnRcKxkl4nQHVt0PtXAepPqsE1ZOfU&#10;ZIeqXTcCW7UO05HJDkWyfVLTrkEXLkOJbm9OBZZwQIUufJnoPsffnnnI5xvOmgxNa6eYF1BJvW0q&#10;KdYVQT8f2ZDlVhCPBHgeYIWfALdKAO8EoDY9gMdKVa4dVNKpKX4xC6UcsOPQduYD5ryJ8Fg/7uiO&#10;sSOLg8IXG5MvurzGTC4ydP4QOg9esMWoT1Cre1CORmAyEVZobKF9v+YLhN+jeNsUypj1r6iS4PEB&#10;LWLXLR5wgprGrdnINnGn6l6f9Yp6sSpngKVKlaWLwJcVPWc6ffTBfOQPxNuRj2ytlnuKNd20Tes9&#10;YtoZGprR/+g99xhDCaLSRBk2FHT66XGGnaxcmklE0Aseblb4rrYCPKM9YrhenKS3WoDZdY/I9SPW&#10;z2278K5jCo+Pvp8mHmU1XGnXRp6ziUEO8W2MLlioAGMJPNdljst6SSIPUXZYlWeKgCNnSj+0e7DZ&#10;t4qMXh6zXkjUbKcpy096+9wdsp0mgLd69sazpWk+YfenU3itDrMar20HWU/1WkYzG9WmAk3Jacdt&#10;7RAk0bjtmW3apkgUDRjGbc/ZbTd5dKd+5SC3xc4dNqVbMNiy0MFu373RFgsbMxbUkkwIVm38Vu6p&#10;fU5EWi84Yvz2nP1WVxk3w207o3OQ39K6+5hjSn5LMzwEasFAuVrDLfOx73wT/+5bKsOw5M2t7o+8&#10;mTPXEZJx23N2W10nrd0WZRVPjG15GKCaU7ltwFzMUum6LcZaD6uYVX7LIDDsKYEwfnt6v9UxkvHb&#10;c/ZbXejd+K3OOGJRiIOG25bfohQ78FCk1BluGQJebE6m/JYm5CgJ3GSlzokm63VxjN+es9/qAvXG&#10;b3U+8VC/xbrNYMpyvBVYGTHEToIdv8Vcf0OTo+EEm03BU2UAcXbRrY6RjNs+zW13SUMb76+mmfyF&#10;aR5ls/noJiqj9mscr7JhzNNZuhjH+fv/AQAA//8DAFBLAwQUAAYACAAAACEAYWeZVN0AAAAFAQAA&#10;DwAAAGRycy9kb3ducmV2LnhtbEyPQWvCQBCF70L/wzKF3nSTaK2k2YhI60kK1ULpbcyOSTA7G7Jr&#10;Ev99t720l4HHe7z3TbYeTSN66lxtWUE8i0AQF1bXXCr4OL5OVyCcR9bYWCYFN3Kwzu8mGabaDvxO&#10;/cGXIpSwS1FB5X2bSumKigy6mW2Jg3e2nUEfZFdK3eEQyk0jkyhaSoM1h4UKW9pWVFwOV6NgN+Cw&#10;mccv/f5y3t6+jo9vn/uYlHq4HzfPIDyN/i8MP/gBHfLAdLJX1k40CsIj/vcGbzGPExAnBcvkaQUy&#10;z+R/+vwbAAD//wMAUEsBAi0AFAAGAAgAAAAhAOSZw8D7AAAA4QEAABMAAAAAAAAAAAAAAAAAAAAA&#10;AFtDb250ZW50X1R5cGVzXS54bWxQSwECLQAUAAYACAAAACEAI7Jq4dcAAACUAQAACwAAAAAAAAAA&#10;AAAAAAAsAQAAX3JlbHMvLnJlbHNQSwECLQAUAAYACAAAACEAGP9yhpYNAABikAAADgAAAAAAAAAA&#10;AAAAAAAsAgAAZHJzL2Uyb0RvYy54bWxQSwECLQAUAAYACAAAACEAYWeZVN0AAAAFAQAADwAAAAAA&#10;AAAAAAAAAADuDwAAZHJzL2Rvd25yZXYueG1sUEsFBgAAAAAEAAQA8wAAAPgQAAAAAA==&#10;">
                <v:shapetype id="_x0000_t202" coordsize="21600,21600" o:spt="202" path="m0,0l0,21600,21600,21600,21600,0xe">
                  <v:stroke joinstyle="miter"/>
                  <v:path gradientshapeok="t" o:connecttype="rect"/>
                </v:shapetype>
                <v:shape id="Text Box 11" o:spid="_x0000_s1036" type="#_x0000_t202" style="position:absolute;left:2327426;top:1701921;width:897931;height:3193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YLkXwgAA&#10;ANsAAAAPAAAAZHJzL2Rvd25yZXYueG1sRE9Li8IwEL4v+B/CCN7WdAVFuqZFCqKIe/Bx8TbbjG3Z&#10;ZlKbqHV/vREEb/PxPWeWdqYWV2pdZVnB1zACQZxbXXGh4LBffE5BOI+ssbZMCu7kIE16HzOMtb3x&#10;lq47X4gQwi5GBaX3TSyly0sy6Ia2IQ7cybYGfYBtIXWLtxBuajmKook0WHFoKLGhrKT8b3cxCtbZ&#10;4ge3vyMz/a+z5eY0b86H41ipQb+bf4Pw1Pm3+OVe6TB/DM9fwgEy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guRfCAAAA2wAAAA8AAAAAAAAAAAAAAAAAlwIAAGRycy9kb3du&#10;cmV2LnhtbFBLBQYAAAAABAAEAPUAAACGAwAAAAA=&#10;" filled="f" stroked="f" strokeweight=".5pt">
                  <v:textbox>
                    <w:txbxContent>
                      <w:p w14:paraId="6A374C7D" w14:textId="77777777" w:rsidR="00A40E33" w:rsidRDefault="00A40E33" w:rsidP="001F5D6A">
                        <w:pPr>
                          <w:pStyle w:val="NormalWeb"/>
                          <w:spacing w:before="0" w:beforeAutospacing="0" w:after="0" w:afterAutospacing="0"/>
                        </w:pPr>
                        <w:r>
                          <w:rPr>
                            <w:rFonts w:eastAsia="Times New Roman"/>
                            <w:b/>
                            <w:bCs/>
                            <w:color w:val="FF0000"/>
                            <w:kern w:val="24"/>
                            <w:sz w:val="20"/>
                            <w:szCs w:val="20"/>
                            <w:lang w:val="id-ID"/>
                          </w:rPr>
                          <w:t>-0.069874 (Sig)</w:t>
                        </w:r>
                      </w:p>
                    </w:txbxContent>
                  </v:textbox>
                </v:shape>
                <v:group id="Group 16" o:spid="_x0000_s1037" style="position:absolute;left:2082772;top:457970;width:2583935;height:3780231" coordorigin="2082772,457970" coordsize="2583935,37802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Text Box 12" o:spid="_x0000_s1038" type="#_x0000_t202" style="position:absolute;left:2588325;top:2210810;width:532094;height:2643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oL7xAAA&#10;ANsAAAAPAAAAZHJzL2Rvd25yZXYueG1sRE9Na8JAEL0X/A/LCN7qpoI1pK4SAqFF2oOpl96m2TEJ&#10;zc6m2a2J/nq3IHibx/uc9XY0rThR7xrLCp7mEQji0uqGKwWHz/wxBuE8ssbWMik4k4PtZvKwxkTb&#10;gfd0KnwlQgi7BBXU3neJlK6syaCb2444cEfbG/QB9pXUPQ4h3LRyEUXP0mDDoaHGjrKayp/izyjY&#10;ZfkH7r8XJr602ev7Me1+D19LpWbTMX0B4Wn0d/HN/abD/B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6C+8QAAADbAAAADwAAAAAAAAAAAAAAAACXAgAAZHJzL2Rv&#10;d25yZXYueG1sUEsFBgAAAAAEAAQA9QAAAIgDAAAAAA==&#10;" filled="f" stroked="f" strokeweight=".5pt">
                    <v:textbox>
                      <w:txbxContent>
                        <w:p w14:paraId="73953043"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0.009879 (T Sig)</w:t>
                          </w:r>
                        </w:p>
                      </w:txbxContent>
                    </v:textbox>
                  </v:shape>
                  <v:group id="Group 18" o:spid="_x0000_s1039" style="position:absolute;left:2082772;top:457970;width:2583935;height:3780231" coordorigin="2082772,457970" coordsize="2583935,37802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Text Box 53" o:spid="_x0000_s1040" type="#_x0000_t202" style="position:absolute;left:2588325;top:3058958;width:588266;height:2430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LbMSwgAA&#10;ANsAAAAPAAAAZHJzL2Rvd25yZXYueG1sRE9Li8IwEL4v+B/CCHtbUwVFq1GkICuLHnxcvI3N2Bab&#10;SW2yWv31RhC8zcf3nMmsMaW4Uu0Kywq6nQgEcWp1wZmC/W7xMwThPLLG0jIpuJOD2bT1NcFY2xtv&#10;6Lr1mQgh7GJUkHtfxVK6NCeDrmMr4sCdbG3QB1hnUtd4C+GmlL0oGkiDBYeGHCtKckrP23+j4C9Z&#10;rHFz7Jnho0x+V6d5ddkf+kp9t5v5GISnxn/Eb/dSh/kjeP0SDpDT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tsxLCAAAA2wAAAA8AAAAAAAAAAAAAAAAAlwIAAGRycy9kb3du&#10;cmV2LnhtbFBLBQYAAAAABAAEAPUAAACGAwAAAAA=&#10;" filled="f" stroked="f" strokeweight=".5pt">
                      <v:textbox>
                        <w:txbxContent>
                          <w:p w14:paraId="7CF2B402"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0.010254 (T Sig)</w:t>
                            </w:r>
                          </w:p>
                        </w:txbxContent>
                      </v:textbox>
                    </v:shape>
                    <v:group id="Group 20" o:spid="_x0000_s1041" style="position:absolute;left:2082772;top:457970;width:2583935;height:3780231" coordorigin="2082772,457970" coordsize="2583935,37802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group id="Group 21" o:spid="_x0000_s1042" style="position:absolute;left:2082772;top:457970;width:2583935;height:3731843" coordorigin="2082772,457970" coordsize="2583935,37319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Text Box 30" o:spid="_x0000_s1043" type="#_x0000_t202" style="position:absolute;left:2435290;top:3681058;width:737600;height:2498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XmvxgAA&#10;ANsAAAAPAAAAZHJzL2Rvd25yZXYueG1sRI9Ba8JAFITvBf/D8oTemo2BikZXCYHQUtqDmktvr9ln&#10;Esy+jdmtpv76bqHgcZiZb5j1djSduNDgWssKZlEMgriyuuVaQXkonhYgnEfW2FkmBT/kYLuZPKwx&#10;1fbKO7rsfS0ChF2KChrv+1RKVzVk0EW2Jw7e0Q4GfZBDLfWA1wA3nUzieC4NthwWGuwpb6g67b+N&#10;gre8+MDdV2IWty5/eT9m/bn8fFbqcTpmKxCeRn8P/7dftYJkCX9fwg+Qm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QXmvxgAAANsAAAAPAAAAAAAAAAAAAAAAAJcCAABkcnMv&#10;ZG93bnJldi54bWxQSwUGAAAAAAQABAD1AAAAigMAAAAA&#10;" filled="f" stroked="f" strokeweight=".5pt">
                          <v:textbox>
                            <w:txbxContent>
                              <w:p w14:paraId="6A1C6520"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-0.035302 (T Sig)</w:t>
                                </w:r>
                              </w:p>
                            </w:txbxContent>
                          </v:textbox>
                        </v:shape>
                        <v:group id="Group 30" o:spid="_x0000_s1044" style="position:absolute;left:2082772;top:457970;width:2583935;height:3731992" coordorigin="2082772,457970" coordsize="2583935,37319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Text Box 2" o:spid="_x0000_s1045" type="#_x0000_t202" style="position:absolute;left:2588325;top:457970;width:561725;height:339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uN0xQAA&#10;ANsAAAAPAAAAZHJzL2Rvd25yZXYueG1sRI9Ba8JAFITvgv9heUJvuonFItFVQkBaih60Xrw9s88k&#10;mH2bZrdJ2l/fFQo9DjPzDbPeDqYWHbWusqwgnkUgiHOrKy4UnD920yUI55E11pZJwTc52G7GozUm&#10;2vZ8pO7kCxEg7BJUUHrfJFK6vCSDbmYb4uDdbGvQB9kWUrfYB7ip5TyKXqTBisNCiQ1lJeX305dR&#10;8J7tDni8zs3yp85e97e0+TxfFko9TYZ0BcLT4P/Df+03reA5hseX8APk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u43TFAAAA2wAAAA8AAAAAAAAAAAAAAAAAlwIAAGRycy9k&#10;b3ducmV2LnhtbFBLBQYAAAAABAAEAPUAAACJAwAAAAA=&#10;" filled="f" stroked="f" strokeweight=".5pt">
                            <v:textbox>
                              <w:txbxContent>
                                <w:p w14:paraId="75D16660"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0.038539 (T Sig)</w:t>
                                  </w:r>
                                </w:p>
                              </w:txbxContent>
                            </v:textbox>
                          </v:shape>
                          <v:group id="Group 32" o:spid="_x0000_s1046" style="position:absolute;left:2082772;top:740697;width:2583935;height:3449265" coordorigin="2082772,740697" coordsize="2583935,3449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group id="Group 33" o:spid="_x0000_s1047" style="position:absolute;left:2082772;top:740697;width:2583935;height:3449265" coordorigin="2082773,740697" coordsize="2584076,34495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oval id="Oval 35" o:spid="_x0000_s1048" style="position:absolute;left:3992742;top:2437207;width:674107;height:3958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4M4axQAA&#10;ANsAAAAPAAAAZHJzL2Rvd25yZXYueG1sRI9Ba8JAFITvgv9heUJvummlVVJXEaW0Fjw08eDxmX1N&#10;QrNv0+x2jf/eFYQeh5n5hlmsetOIQJ2rLSt4nCQgiAuray4VHPK38RyE88gaG8uk4EIOVsvhYIGp&#10;tmf+opD5UkQIuxQVVN63qZSuqMigm9iWOHrftjPoo+xKqTs8R7hp5FOSvEiDNceFClvaVFT8ZH9G&#10;wXwbpu+z333YZXnY6s/M7vPTUamHUb9+BeGp9//he/tDK5g+w+1L/AFy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zgzhrFAAAA2wAAAA8AAAAAAAAAAAAAAAAAlwIAAGRycy9k&#10;b3ducmV2LnhtbFBLBQYAAAAABAAEAPUAAACJAwAAAAA=&#10;" fillcolor="yellow" strokeweight="1.5pt">
                                <v:textbox>
                                  <w:txbxContent>
                                    <w:p w14:paraId="0E7B22A4"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TOBIN</w:t>
                                      </w:r>
                                    </w:p>
                                  </w:txbxContent>
                                </v:textbox>
                              </v:oval>
                              <v:oval id="Oval 36" o:spid="_x0000_s1049" style="position:absolute;left:3037757;top:2493757;width:617932;height:2827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lBtxQAA&#10;ANsAAAAPAAAAZHJzL2Rvd25yZXYueG1sRI9Ba8JAFITvhf6H5Qne6sYKVqKrSKVUCx6a9ODxmX0m&#10;wezbNLuu8d+7hYLHYWa+YRar3jQiUOdqywrGowQEcWF1zaWCn/zjZQbCeWSNjWVScCMHq+Xz0wJT&#10;ba/8TSHzpYgQdikqqLxvUyldUZFBN7ItcfROtjPoo+xKqTu8Rrhp5GuSTKXBmuNChS29V1Scs4tR&#10;MNuEyefb7z7ssjxs9Fdm9/nxoNRw0K/nIDz1/hH+b2+1gskU/r7EHyC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yUG3FAAAA2wAAAA8AAAAAAAAAAAAAAAAAlwIAAGRycy9k&#10;b3ducmV2LnhtbFBLBQYAAAAABAAEAPUAAACJAwAAAAA=&#10;" fillcolor="yellow" strokeweight="1.5pt">
                                <v:textbox>
                                  <w:txbxContent>
                                    <w:p w14:paraId="45F81010"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ROA</w:t>
                                      </w:r>
                                    </w:p>
                                    <w:p w14:paraId="588D0FA6" w14:textId="77777777" w:rsidR="00A40E33" w:rsidRDefault="00A40E33" w:rsidP="001F5D6A">
                                      <w:pPr>
                                        <w:pStyle w:val="NormalWeb"/>
                                        <w:spacing w:before="0" w:beforeAutospacing="0" w:after="0" w:afterAutospacing="0"/>
                                      </w:pPr>
                                      <w:r>
                                        <w:rPr>
                                          <w:rFonts w:eastAsia="Times New Roman"/>
                                          <w:color w:val="000000"/>
                                          <w:kern w:val="24"/>
                                          <w:sz w:val="56"/>
                                          <w:szCs w:val="56"/>
                                        </w:rPr>
                                        <w:t> </w:t>
                                      </w:r>
                                    </w:p>
                                  </w:txbxContent>
                                </v:textbox>
                              </v:oval>
                              <v:shape id="AutoShape 433" o:spid="_x0000_s1050" type="#_x0000_t32" style="position:absolute;left:3655688;top:2606858;width:308966;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HpfMQAAADbAAAADwAAAGRycy9kb3ducmV2LnhtbESPQWvCQBSE74X+h+UJ3urGFtoSXcUE&#10;C/Zo3EOPz+wzCWbfhuwao7/eLRR6HGbmG2a5Hm0rBup941jBfJaAIC6dabhSoA9fL58gfEA22Dom&#10;BTfysF49Py0xNe7KexqKUIkIYZ+igjqELpXSlzVZ9DPXEUfv5HqLIcq+kqbHa4TbVr4mybu02HBc&#10;qLGjvKbyXFysglxfBp0NRbfdZz/zqv3e7o53rdR0Mm4WIAKN4T/8194ZBW8f8Psl/gC5e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58el8xAAAANsAAAAPAAAAAAAAAAAA&#10;AAAAAKECAABkcnMvZG93bnJldi54bWxQSwUGAAAAAAQABAD5AAAAkgMAAAAA&#10;" strokeweight="1.5pt">
                                <v:stroke endarrow="block"/>
                              </v:shape>
                              <v:rect id="Rectangle 38" o:spid="_x0000_s1051" style="position:absolute;left:2082773;top:740697;width:449404;height:2761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jpOwQAA&#10;ANsAAAAPAAAAZHJzL2Rvd25yZXYueG1sRE9NawIxEL0X+h/CFHqr2VqQshpFhMoeLKVqC97GzbhZ&#10;3EzCJtXtv3cOhR4f73u2GHynLtSnNrCB51EBirgOtuXGwH739vQKKmVki11gMvBLCRbz+7sZljZc&#10;+ZMu29woCeFUogGXcyy1TrUjj2kUIrFwp9B7zAL7RtserxLuOz0uion22LI0OIy0clSftz9eetfu&#10;+5CqfKy/Nqfd5t3F7qOKxjw+DMspqExD/hf/uStr4EXGyhf5AXp+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w46TsEAAADbAAAADwAAAAAAAAAAAAAAAACXAgAAZHJzL2Rvd25y&#10;ZXYueG1sUEsFBgAAAAAEAAQA9QAAAIUDAAAAAA==&#10;" fillcolor="yellow" strokeweight="1.5pt">
                                <v:textbox>
                                  <w:txbxContent>
                                    <w:p w14:paraId="1D2A470A"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FG</w:t>
                                      </w:r>
                                    </w:p>
                                  </w:txbxContent>
                                </v:textbox>
                              </v:rect>
                              <v:rect id="Rectangle 39" o:spid="_x0000_s1052" style="position:absolute;left:2082774;top:1272877;width:449404;height:259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p/VxAAA&#10;ANsAAAAPAAAAZHJzL2Rvd25yZXYueG1sRI9fa8IwFMXfBb9DuMLeNHUDmZ1RZLDRB8fQusHers21&#10;KTY3ocm0fvtFGPh4OH9+nMWqt604UxcaxwqmkwwEceV0w7WCffk2fgYRIrLG1jEpuFKA1XI4WGCu&#10;3YW3dN7FWqQRDjkqMDH6XMpQGbIYJs4TJ+/oOosxya6WusNLGretfMyymbTYcCIY9PRqqDrtfm3i&#10;vpvvn1DEQ/W1OZabD+Pbz8Ir9TDq1y8gIvXxHv5vF1rB0xxuX9IPkM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Kf1cQAAADbAAAADwAAAAAAAAAAAAAAAACXAgAAZHJzL2Rv&#10;d25yZXYueG1sUEsFBgAAAAAEAAQA9QAAAIgDAAAAAA==&#10;" fillcolor="yellow" strokeweight="1.5pt">
                                <v:textbox>
                                  <w:txbxContent>
                                    <w:p w14:paraId="51579465"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rPr>
                                        <w:t>CAR</w:t>
                                      </w:r>
                                    </w:p>
                                  </w:txbxContent>
                                </v:textbox>
                              </v:rect>
                              <v:rect id="Rectangle 40" o:spid="_x0000_s1053" style="position:absolute;left:2082774;top:1968062;width:449404;height:2429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kU1wQAA&#10;ANsAAAAPAAAAZHJzL2Rvd25yZXYueG1sRE9NawIxEL0X+h/CFHqr2UqRshpFhMoeLKVqC97GzbhZ&#10;3EzCJtXtv3cOhR4f73u2GHynLtSnNrCB51EBirgOtuXGwH739vQKKmVki11gMvBLCRbz+7sZljZc&#10;+ZMu29woCeFUogGXcyy1TrUjj2kUIrFwp9B7zAL7RtserxLuOz0uion22LI0OIy0clSftz9eetfu&#10;+5CqfKy/Nqfd5t3F7qOKxjw+DMspqExD/hf/uStr4EXWyxf5AXp+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X5FNcEAAADbAAAADwAAAAAAAAAAAAAAAACXAgAAZHJzL2Rvd25y&#10;ZXYueG1sUEsFBgAAAAAEAAQA9QAAAIUDAAAAAA==&#10;" fillcolor="yellow" strokeweight="1.5pt">
                                <v:textbox>
                                  <w:txbxContent>
                                    <w:p w14:paraId="6D40BE4B"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NPL</w:t>
                                      </w:r>
                                    </w:p>
                                  </w:txbxContent>
                                </v:textbox>
                              </v:rect>
                              <v:rect id="Rectangle 41" o:spid="_x0000_s1054" style="position:absolute;left:2082773;top:2550308;width:449404;height:3958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uCuxAAA&#10;ANsAAAAPAAAAZHJzL2Rvd25yZXYueG1sRI9da8IwFIbvB/6HcAa7m6kyRKqpjIHSC8eYX7C7s+a0&#10;KWtOQpNp9+/NQPDy5f14eJerwXbiTH1oHSuYjDMQxJXTLTcKDvv18xxEiMgaO8ek4I8CrIrRwxJz&#10;7S78SeddbEQa4ZCjAhOjz6UMlSGLYew8cfJq11uMSfaN1D1e0rjt5DTLZtJiy4lg0NOboepn92sT&#10;d2NOX6GM39VxW++378Z3H6VX6ulxeF2AiDTEe/jWLrWClwn8f0k/QBZ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jLgrsQAAADbAAAADwAAAAAAAAAAAAAAAACXAgAAZHJzL2Rv&#10;d25yZXYueG1sUEsFBgAAAAAEAAQA9QAAAIgDAAAAAA==&#10;" fillcolor="yellow" strokeweight="1.5pt">
                                <v:textbox>
                                  <w:txbxContent>
                                    <w:p w14:paraId="0511144F"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Loan (</w:t>
                                      </w:r>
                                      <w:r>
                                        <w:rPr>
                                          <w:rFonts w:eastAsia="Times New Roman"/>
                                          <w:b/>
                                          <w:bCs/>
                                          <w:color w:val="000000"/>
                                          <w:kern w:val="24"/>
                                          <w:sz w:val="20"/>
                                          <w:szCs w:val="20"/>
                                        </w:rPr>
                                        <w:t>LDR</w:t>
                                      </w:r>
                                      <w:r>
                                        <w:rPr>
                                          <w:rFonts w:eastAsia="Times New Roman"/>
                                          <w:b/>
                                          <w:bCs/>
                                          <w:color w:val="000000"/>
                                          <w:kern w:val="24"/>
                                          <w:sz w:val="20"/>
                                          <w:szCs w:val="20"/>
                                          <w:lang w:val="id-ID"/>
                                        </w:rPr>
                                        <w:t>)</w:t>
                                      </w:r>
                                    </w:p>
                                  </w:txbxContent>
                                </v:textbox>
                              </v:rect>
                              <v:rect id="Rectangle 42" o:spid="_x0000_s1055" style="position:absolute;left:2082774;top:3365240;width:449404;height:2029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4H7ZxAAA&#10;ANsAAAAPAAAAZHJzL2Rvd25yZXYueG1sRI9fa8IwFMXfhX2HcAd703QiQzpTkcFGHxxD3Qa+XZvb&#10;ptjchCZq9+0XQfDxcP78OIvlYDtxpj60jhU8TzIQxJXTLTcKvnfv4zmIEJE1do5JwR8FWBYPowXm&#10;2l14Q+dtbEQa4ZCjAhOjz6UMlSGLYeI8cfJq11uMSfaN1D1e0rjt5DTLXqTFlhPBoKc3Q9Vxe7KJ&#10;+2F+96GMh+pnXe/Wn8Z3X6VX6ulxWL2CiDTEe/jWLrWC2RSuX9IPkM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uB+2cQAAADbAAAADwAAAAAAAAAAAAAAAACXAgAAZHJzL2Rv&#10;d25yZXYueG1sUEsFBgAAAAAEAAQA9QAAAIgDAAAAAA==&#10;" fillcolor="yellow" strokeweight="1.5pt">
                                <v:textbox>
                                  <w:txbxContent>
                                    <w:p w14:paraId="4C338F29"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BOPO</w:t>
                                      </w:r>
                                    </w:p>
                                  </w:txbxContent>
                                </v:textbox>
                              </v:rect>
                              <v:rect id="Rectangle 43" o:spid="_x0000_s1056" style="position:absolute;left:2082774;top:3987293;width:449404;height:2029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NtCxAAA&#10;ANsAAAAPAAAAZHJzL2Rvd25yZXYueG1sRI9fa8IwFMXfBb9DuMLeNHWTIZ1RZLDRB8fQusHers21&#10;KTY3ocm0fvtFGPh4OH9+nMWqt604UxcaxwqmkwwEceV0w7WCffk2noMIEVlj65gUXCnAajkcLDDX&#10;7sJbOu9iLdIIhxwVmBh9LmWoDFkME+eJk3d0ncWYZFdL3eEljdtWPmbZs7TYcCIY9PRqqDrtfm3i&#10;vpvvn1DEQ/W1OZabD+Pbz8Ir9TDq1y8gIvXxHv5vF1rB7AluX9IPkM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azbQsQAAADbAAAADwAAAAAAAAAAAAAAAACXAgAAZHJzL2Rv&#10;d25yZXYueG1sUEsFBgAAAAAEAAQA9QAAAIgDAAAAAA==&#10;" fillcolor="yellow" strokeweight="1.5pt">
                                <v:textbox>
                                  <w:txbxContent>
                                    <w:p w14:paraId="52161C20" w14:textId="77777777" w:rsidR="00A40E33" w:rsidRDefault="00A40E33" w:rsidP="001F5D6A">
                                      <w:pPr>
                                        <w:pStyle w:val="NormalWeb"/>
                                        <w:spacing w:before="0" w:beforeAutospacing="0" w:after="0" w:afterAutospacing="0"/>
                                        <w:jc w:val="center"/>
                                      </w:pPr>
                                      <w:r>
                                        <w:rPr>
                                          <w:rFonts w:eastAsia="Times New Roman"/>
                                          <w:b/>
                                          <w:bCs/>
                                          <w:color w:val="000000"/>
                                          <w:kern w:val="24"/>
                                          <w:sz w:val="20"/>
                                          <w:szCs w:val="20"/>
                                          <w:lang w:val="id-ID"/>
                                        </w:rPr>
                                        <w:t>DG</w:t>
                                      </w:r>
                                    </w:p>
                                  </w:txbxContent>
                                </v:textbox>
                              </v:rect>
                              <v:shape id="AutoShape 443" o:spid="_x0000_s1057" type="#_x0000_t32" style="position:absolute;left:2532177;top:797247;width:842633;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rROFsUAAADbAAAADwAAAGRycy9kb3ducmV2LnhtbESPQWvCQBSE74X+h+UVvIhuWqSU6Cql&#10;IBUUqbEXb4/sMxvMvg152xj/vVso9DjMzDfMYjX4RvXUSR3YwPM0A0VcBltzZeD7uJ68gZKIbLEJ&#10;TAZuJLBaPj4sMLfhygfqi1ipBGHJ0YCLsc21ltKRR5mGljh559B5jEl2lbYdXhPcN/oly161x5rT&#10;gsOWPhyVl+LHG+h34+36dpTPvWs246/iIPvLSYwZPQ3vc1CRhvgf/mtvrIHZDH6/pB+gl3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rROFsUAAADbAAAADwAAAAAAAAAA&#10;AAAAAAChAgAAZHJzL2Rvd25yZXYueG1sUEsFBgAAAAAEAAQA+QAAAJMDAAAAAA==&#10;" strokeweight="1.5pt">
                                <v:stroke dashstyle="dash"/>
                              </v:shape>
                              <v:shape id="AutoShape 444" o:spid="_x0000_s1058" type="#_x0000_t32" style="position:absolute;left:2555455;top:1616604;width:1639960;height:1249;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7Hr48QAAADbAAAADwAAAGRycy9kb3ducmV2LnhtbESPQWvCQBSE7wX/w/IKvdWNoiLRVdRS&#10;UERotb0/sy/Z0OzbkN3G5N+7QqHHYWa+YZbrzlaipcaXjhWMhgkI4szpkgsFX5f31zkIH5A1Vo5J&#10;QU8e1qvB0xJT7W78Se05FCJC2KeowIRQp1L6zJBFP3Q1cfRy11gMUTaF1A3eItxWcpwkM2mx5Lhg&#10;sKadoezn/GsVTLdFnh+vsj/piTl8bPrR7K39VurludssQATqwn/4r73XCiZTeHyJP0Cu7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sevjxAAAANsAAAAPAAAAAAAAAAAA&#10;AAAAAKECAABkcnMvZG93bnJldi54bWxQSwUGAAAAAAQABAD5AAAAkgMAAAAA&#10;" strokeweight="1.5pt">
                                <v:stroke dashstyle="dash" endarrow="block"/>
                              </v:shape>
                              <v:shape id="AutoShape 445" o:spid="_x0000_s1059" type="#_x0000_t32" style="position:absolute;left:2532177;top:966898;width:2022320;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jydT8MAAADbAAAADwAAAGRycy9kb3ducmV2LnhtbESPwWrDMBBE74X8g9hAbo3cpoTgWjZO&#10;IZBLDk1zyW2x1paxtXIt1XH+PioUehxm5g2TFbPtxUSjbx0reFknIIgrp1tuFFy+Ds87ED4ga+wd&#10;k4I7eSjyxVOGqXY3/qTpHBoRIexTVGBCGFIpfWXIol+7gTh6tRsthijHRuoRbxFue/maJFtpseW4&#10;YHCgD0NVd/6xCuyg7ffJGX3t2k2/p2Nd7pNJqdVyLt9BBJrDf/ivfdQK3rbw+yX+AJk/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I8nU/DAAAA2wAAAA8AAAAAAAAAAAAA&#10;AAAAoQIAAGRycy9kb3ducmV2LnhtbFBLBQYAAAAABAAEAPkAAACRAwAAAAA=&#10;" strokeweight="1.5pt"/>
                              <v:shape id="AutoShape 446" o:spid="_x0000_s1060" type="#_x0000_t32" style="position:absolute;left:3880523;top:1640873;width:1357208;height:9259;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nCvFMMAAADbAAAADwAAAGRycy9kb3ducmV2LnhtbESPQWvCQBSE7wX/w/KE3upGKWlIXSWK&#10;lYCnRkF6e2SfSTD7NmS3Mf57Vyj0OMzMN8xyPZpWDNS7xrKC+SwCQVxa3XCl4HT8ektAOI+ssbVM&#10;Cu7kYL2avCwx1fbG3zQUvhIBwi5FBbX3XSqlK2sy6Ga2Iw7exfYGfZB9JXWPtwA3rVxEUSwNNhwW&#10;auxoW1N5LX6NAt7lbrOLDzYbfk7ZOWn2e26NUq/TMfsE4Wn0/+G/dq4VvH/A80v4AXL1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JwrxTDAAAA2wAAAA8AAAAAAAAAAAAA&#10;AAAAoQIAAGRycy9kb3ducmV2LnhtbFBLBQYAAAAABAAEAPkAAACRAwAAAAA=&#10;" strokeweight="1.5pt">
                                <v:stroke endarrow="block"/>
                              </v:shape>
                              <v:shape id="AutoShape 447" o:spid="_x0000_s1061" type="#_x0000_t32" style="position:absolute;left:2532177;top:1419301;width:730282;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lEE8IAAADbAAAADwAAAGRycy9kb3ducmV2LnhtbERPTWvCQBC9C/0PyxS8SN20iEh0lVKQ&#10;Chap0UtvQ3bMBrOzIbON8d93D0KPj/e92gy+UT11Ugc28DrNQBGXwdZcGTifti8LUBKRLTaBycCd&#10;BDbrp9EKcxtufKS+iJVKISw5GnAxtrnWUjryKNPQEifuEjqPMcGu0rbDWwr3jX7Lsrn2WHNqcNjS&#10;h6PyWvx6A/3XZL+9n+Tz4Jrd5Ls4yuH6I8aMn4f3JahIQ/wXP9w7a2CWxqYv6Qfo9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lEE8IAAADbAAAADwAAAAAAAAAAAAAA&#10;AAChAgAAZHJzL2Rvd25yZXYueG1sUEsFBgAAAAAEAAQA+QAAAJADAAAAAA==&#10;" strokeweight="1.5pt">
                                <v:stroke dashstyle="dash"/>
                              </v:shape>
                              <v:shape id="AutoShape 448" o:spid="_x0000_s1062" type="#_x0000_t32" style="position:absolute;left:2754133;top:1927627;width:1017277;height:624;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zh5sQAAADbAAAADwAAAGRycy9kb3ducmV2LnhtbESPQWvCQBSE74X+h+UVvNWNRaVNXUUr&#10;BUUEa/X+mn3JBrNvQ3Ybk3/vCoUeh5n5hpktOluJlhpfOlYwGiYgiDOnSy4UnL4/n19B+ICssXJM&#10;CnrysJg/Psww1e7KX9QeQyEihH2KCkwIdSqlzwxZ9ENXE0cvd43FEGVTSN3gNcJtJV+SZCotlhwX&#10;DNb0YSi7HH+tgsmqyPPdj+z3emy2h2U/mq7bs1KDp275DiJQF/7Df+2NVjB+g/uX+APk/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OHmxAAAANsAAAAPAAAAAAAAAAAA&#10;AAAAAKECAABkcnMvZG93bnJldi54bWxQSwUGAAAAAAQABAD5AAAAkgMAAAAA&#10;" strokeweight="1.5pt">
                                <v:stroke dashstyle="dash" endarrow="block"/>
                              </v:shape>
                              <v:shape id="AutoShape 449" o:spid="_x0000_s1063" type="#_x0000_t32" style="position:absolute;left:2532177;top:1532402;width:1853794;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0A2fbwAAADbAAAADwAAAGRycy9kb3ducmV2LnhtbERPuwrCMBTdBf8hXMFNUxVFqlFUEFwc&#10;fCxul+baFJub2sRa/94MguPhvJfr1paiodoXjhWMhgkI4szpgnMF18t+MAfhA7LG0jEp+JCH9arb&#10;WWKq3ZtP1JxDLmII+xQVmBCqVEqfGbLoh64ijtzd1RZDhHUudY3vGG5LOU6SmbRYcGwwWNHOUPY4&#10;v6wCW2n7PDqjb49iUm7pcN9sk0apfq/dLEAEasNf/HMftIJpXB+/xB8gV1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50A2fbwAAADbAAAADwAAAAAAAAAAAAAAAAChAgAA&#10;ZHJzL2Rvd25yZXYueG1sUEsFBgAAAAAEAAQA+QAAAIoDAAAAAA==&#10;" strokeweight="1.5pt"/>
                              <v:shape id="AutoShape 450" o:spid="_x0000_s1064" type="#_x0000_t32" style="position:absolute;left:3990743;top:1927630;width:791705;height:1249;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wEJsMAAADbAAAADwAAAGRycy9kb3ducmV2LnhtbESPQWuDQBSE74X8h+UFeqtrAg3BuooJ&#10;qQR6aiqU3h7ui0rct+Ju1P77bqHQ4zAz3zBpvpheTDS6zrKCTRSDIK6t7rhRUH28Pu1BOI+ssbdM&#10;Cr7JQZ6tHlJMtJ35naaLb0SAsEtQQev9kEjp6pYMusgOxMG72tGgD3JspB5xDnDTy20c76TBjsNC&#10;iwMdW6pvl7tRwKezO5x2b7aYvqric9+VJfdGqcf1UryA8LT4//Bf+6wVPG/g90v4ATL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cMBCbDAAAA2wAAAA8AAAAAAAAAAAAA&#10;AAAAoQIAAGRycy9kb3ducmV2LnhtbFBLBQYAAAAABAAEAPkAAACRAwAAAAA=&#10;" strokeweight="1.5pt">
                                <v:stroke endarrow="block"/>
                              </v:shape>
                              <v:shape id="AutoShape 451" o:spid="_x0000_s1065" type="#_x0000_t32" style="position:absolute;left:2532177;top:2041355;width:617931;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8jlJMUAAADbAAAADwAAAGRycy9kb3ducmV2LnhtbESPQWvCQBSE74X+h+UVehHdVGiR6Cql&#10;IBVaRKMXb4/sMxvMvg152xj/fbdQ8DjMzDfMYjX4RvXUSR3YwMskA0VcBltzZeB4WI9noCQiW2wC&#10;k4EbCayWjw8LzG248p76IlYqQVhyNOBibHOtpXTkUSahJU7eOXQeY5JdpW2H1wT3jZ5m2Zv2WHNa&#10;cNjSh6PyUvx4A/336Gt9O8jn1jWb0a7Yy/ZyEmOen4b3OahIQ7yH/9sba+B1Cn9f0g/Qy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8jlJMUAAADbAAAADwAAAAAAAAAA&#10;AAAAAAChAgAAZHJzL2Rvd25yZXYueG1sUEsFBgAAAAAEAAQA+QAAAJMDAAAAAA==&#10;" strokeweight="1.5pt">
                                <v:stroke dashstyle="dash"/>
                              </v:shape>
                              <v:shape id="AutoShape 452" o:spid="_x0000_s1066" type="#_x0000_t32" style="position:absolute;left:2924230;top:2267233;width:452404;height:646;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s1A0cQAAADbAAAADwAAAGRycy9kb3ducmV2LnhtbESPQWvCQBSE74X+h+UJ3urG2kpJXcW2&#10;CBURrNr7M/uSDc2+Ddk1Jv/eFQoeh5lvhpktOluJlhpfOlYwHiUgiDOnSy4UHA+rpzcQPiBrrByT&#10;gp48LOaPDzNMtbvwD7X7UIhYwj5FBSaEOpXSZ4Ys+pGriaOXu8ZiiLIppG7wEsttJZ+TZCotlhwX&#10;DNb0aSj725+tgtePIs83J9lv9YtZ75b9ePrV/io1HHTLdxCBunAP/9PfOnITuH2JP0DO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zUDRxAAAANsAAAAPAAAAAAAAAAAA&#10;AAAAAKECAABkcnMvZG93bnJldi54bWxQSwUGAAAAAAQABAD5AAAAkgMAAAAA&#10;" strokeweight="1.5pt">
                                <v:stroke dashstyle="dash" endarrow="block"/>
                              </v:shape>
                              <v:shape id="AutoShape 453" o:spid="_x0000_s1067" type="#_x0000_t32" style="position:absolute;left:2532177;top:2154455;width:1685267;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HswfsIAAADbAAAADwAAAGRycy9kb3ducmV2LnhtbESPQYvCMBSE7wv+h/AEb2uqriK1UXRB&#10;8OJh1Yu3R/NsSpuX2mRr/fdmYcHjMDPfMNmmt7XoqPWlYwWTcQKCOHe65ELB5bz/XILwAVlj7ZgU&#10;PMnDZj34yDDV7sE/1J1CISKEfYoKTAhNKqXPDVn0Y9cQR+/mWoshyraQusVHhNtaTpNkIS2WHBcM&#10;NvRtKK9Ov1aBbbS9H53R16qc1Ts63La7pFNqNOy3KxCB+vAO/7cPWsH8C/6+xB8g1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HswfsIAAADbAAAADwAAAAAAAAAAAAAA&#10;AAChAgAAZHJzL2Rvd25yZXYueG1sUEsFBgAAAAAEAAQA+QAAAJADAAAAAA==&#10;" strokeweight="1.5pt"/>
                              <v:shape id="AutoShape 454" o:spid="_x0000_s1068" type="#_x0000_t32" style="position:absolute;left:4076070;top:2295830;width:282752;height:2;rotation:9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zJJqsMAAADbAAAADwAAAGRycy9kb3ducmV2LnhtbESPQWvCQBSE7wX/w/IEb3WjkKakrlIE&#10;UQgVTO39kX1NQrJv4+6q6b/vCoUeh5n5hlltRtOLGznfWlawmCcgiCurW64VnD93z68gfEDW2Fsm&#10;BT/kYbOePK0w1/bOJ7qVoRYRwj5HBU0IQy6lrxoy6Od2II7et3UGQ5SultrhPcJNL5dJ8iINthwX&#10;Ghxo21DVlVejwF0426fFodTZ17Hr/Lk4fWSFUrPp+P4GItAY/sN/7YNWkKbw+BJ/gF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cySarDAAAA2wAAAA8AAAAAAAAAAAAA&#10;AAAAoQIAAGRycy9kb3ducmV2LnhtbFBLBQYAAAAABAAEAPkAAACRAwAAAAA=&#10;" strokeweight="1.5pt">
                                <v:stroke endarrow="block"/>
                              </v:shape>
                              <v:shape id="AutoShape 455" o:spid="_x0000_s1069" type="#_x0000_t32" style="position:absolute;left:2532177;top:2550308;width:505580;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nzeMMAAADbAAAADwAAAGRycy9kb3ducmV2LnhtbESPT4vCMBTE74LfITzBi2i6iiLVKOIq&#10;iOwe/Hd/NM+m2ryUJmr322+EhT0OM/MbZr5sbCmeVPvCsYKPQQKCOHO64FzB+bTtT0H4gKyxdEwK&#10;fsjDctFuzTHV7sUHeh5DLiKEfYoKTAhVKqXPDFn0A1cRR+/qaoshyjqXusZXhNtSDpNkIi0WHBcM&#10;VrQ2lN2PD6tAy/1XcOPLeTRteuay+b4dHvSpVLfTrGYgAjXhP/zX3mkF4wm8v8QfIB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LZ83jDAAAA2wAAAA8AAAAAAAAAAAAA&#10;AAAAoQIAAGRycy9kb3ducmV2LnhtbFBLBQYAAAAABAAEAPkAAACRAwAAAAA=&#10;" strokeweight="1.5pt">
                                <v:stroke dashstyle="dash" endarrow="block"/>
                              </v:shape>
                              <v:shape id="AutoShape 458" o:spid="_x0000_s1070" type="#_x0000_t32" style="position:absolute;left:4131432;top:3200324;width:622054;height:624;rotation:9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9T/sYAAADbAAAADwAAAGRycy9kb3ducmV2LnhtbESPT2sCMRTE74V+h/AKvRRNrLTqapTS&#10;qhR6KP45eHxsnruLm5dlk2bXb28KhR6HmfkNs1j1thaRWl851jAaKhDEuTMVFxqOh81gCsIHZIO1&#10;Y9JwJQ+r5f3dAjPjOt5R3IdCJAj7DDWUITSZlD4vyaIfuoY4eWfXWgxJtoU0LXYJbmv5rNSrtFhx&#10;WiixofeS8sv+x2qov9U5zp6mH3EdT521X+vxeKu0fnzo3+YgAvXhP/zX/jQaXibw+yX9ALm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lfU/7GAAAA2wAAAA8AAAAAAAAA&#10;AAAAAAAAoQIAAGRycy9kb3ducmV2LnhtbFBLBQYAAAAABAAEAPkAAACUAwAAAAA=&#10;" strokeweight="1.5pt">
                                <v:stroke endarrow="block"/>
                              </v:shape>
                              <v:shape id="AutoShape 463" o:spid="_x0000_s1071" type="#_x0000_t32" style="position:absolute;left:2532177;top:3398562;width:730282;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iDSzsIAAADbAAAADwAAAGRycy9kb3ducmV2LnhtbERPTWvCQBC9C/0PyxS8SN20oEh0lVKQ&#10;Chap0UtvQ3bMBrOzIbON8d93D0KPj/e92gy+UT11Ugc28DrNQBGXwdZcGTifti8LUBKRLTaBycCd&#10;BDbrp9EKcxtufKS+iJVKISw5GnAxtrnWUjryKNPQEifuEjqPMcGu0rbDWwr3jX7Lsrn2WHNqcNjS&#10;h6PyWvx6A/3XZL+9n+Tz4Jrd5Ls4yuH6I8aMn4f3JahIQ/wXP9w7a2CWxqYv6Qfo9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iDSzsIAAADbAAAADwAAAAAAAAAAAAAA&#10;AAChAgAAZHJzL2Rvd25yZXYueG1sUEsFBgAAAAAEAAQA+QAAAJADAAAAAA==&#10;" strokeweight="1.5pt">
                                <v:stroke dashstyle="dash"/>
                              </v:shape>
                              <v:shape id="AutoShape 464" o:spid="_x0000_s1072" type="#_x0000_t32" style="position:absolute;left:3007356;top:3144090;width:509584;height:624;rotation:9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E8lI8cAAADbAAAADwAAAGRycy9kb3ducmV2LnhtbESPQWsCMRSE74L/ITzBm2ZbVHRrFCtt&#10;KV601rYen5vX3cXNy5Kk6/bfG6HQ4zAz3zDzZWsq0ZDzpWUFd8MEBHFmdcm5gsP782AKwgdkjZVl&#10;UvBLHpaLbmeOqbYXfqNmH3IRIexTVFCEUKdS+qwgg35oa+LofVtnMETpcqkdXiLcVPI+SSbSYMlx&#10;ocCa1gVl5/2PUfC4nh3Gm637fHo5naej0ceqOX7tlOr32tUDiEBt+A//tV+1gvEMbl/iD5CL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MTyUjxwAAANsAAAAPAAAAAAAA&#10;AAAAAAAAAKECAABkcnMvZG93bnJldi54bWxQSwUGAAAAAAQABAD5AAAAlQMAAAAA&#10;" strokeweight="1.5pt">
                                <v:stroke dashstyle="dash" endarrow="block"/>
                              </v:shape>
                              <v:shape id="AutoShape 465" o:spid="_x0000_s1073" type="#_x0000_t32" style="position:absolute;left:2532177;top:3511663;width:1909969;height:2222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C4qr8AAADbAAAADwAAAGRycy9kb3ducmV2LnhtbERPTYvCMBC9C/sfwizsTVNdUKmmsiwo&#10;Xq1Cr0MzNtVm0jaxdv/95iB4fLzv7W60jRio97VjBfNZAoK4dLrmSsHlvJ+uQfiArLFxTAr+yMMu&#10;+5hsMdXuySca8lCJGMI+RQUmhDaV0peGLPqZa4kjd3W9xRBhX0nd4zOG20YukmQpLdYcGwy29Guo&#10;vOcPq+D7cuvOSbGaF4fOdAd8+GPerZX6+hx/NiACjeEtfrmPWsEyro9f4g+Q2T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puC4qr8AAADbAAAADwAAAAAAAAAAAAAAAACh&#10;AgAAZHJzL2Rvd25yZXYueG1sUEsFBgAAAAAEAAQA+QAAAI0DAAAAAA==&#10;" strokeweight="1.5pt"/>
                              <v:shape id="AutoShape 466" o:spid="_x0000_s1074" type="#_x0000_t32" style="position:absolute;left:2837581;top:3483390;width:1075085;height:624;rotation:9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XjmMcAAADbAAAADwAAAGRycy9kb3ducmV2LnhtbESPQWsCMRSE7wX/Q3gFbzWrWLFbo6ho&#10;KV5srW09Pjevu4ublyVJ1/Xfm4LQ4zAz3zCTWWsq0ZDzpWUF/V4CgjizuuRcwf5j/TAG4QOyxsoy&#10;KbiQh9m0czfBVNszv1OzC7mIEPYpKihCqFMpfVaQQd+zNXH0fqwzGKJ0udQOzxFuKjlIkpE0WHJc&#10;KLCmZUHZafdrFCyWT/vHzdZ9rV6Op/Fw+DlvDt9vSnXv2/kziEBt+A/f2q9awagPf1/iD5DT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8VeOYxwAAANsAAAAPAAAAAAAA&#10;AAAAAAAAAKECAABkcnMvZG93bnJldi54bWxQSwUGAAAAAAQABAD5AAAAlQMAAAAA&#10;" strokeweight="1.5pt">
                                <v:stroke dashstyle="dash" endarrow="block"/>
                              </v:shape>
                              <v:shape id="AutoShape 476" o:spid="_x0000_s1075" type="#_x0000_t32" style="position:absolute;left:2532177;top:4020616;width:842633;height:1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QvmcUAAADbAAAADwAAAGRycy9kb3ducmV2LnhtbESPQWvCQBSE74X+h+UVehHd6EFKdBUp&#10;SIUWqUkvvT2yz2ww+zbkrTH++26h0OMwM98w6+3oWzVQL01gA/NZBoq4Crbh2sBXuZ++gJKIbLEN&#10;TAbuJLDdPD6sMbfhxicailirBGHJ0YCLscu1lsqRR5mFjjh559B7jEn2tbY93hLct3qRZUvtseG0&#10;4LCjV0fVpbh6A8PH5H1/L+Xt6NrD5LM4yfHyLcY8P427FahIY/wP/7UP1sByAb9f0g/Qmx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aQvmcUAAADbAAAADwAAAAAAAAAA&#10;AAAAAAChAgAAZHJzL2Rvd25yZXYueG1sUEsFBgAAAAAEAAQA+QAAAJMDAAAAAA==&#10;" strokeweight="1.5pt">
                                <v:stroke dashstyle="dash"/>
                              </v:shape>
                              <v:shape id="AutoShape 477" o:spid="_x0000_s1076" type="#_x0000_t32" style="position:absolute;left:3960344;top:3483392;width:1300658;height:1249;rotation:9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AifQMUAAADbAAAADwAAAGRycy9kb3ducmV2LnhtbESPQWsCMRSE74X+h/AKvZSatAtiV6OI&#10;tSL0ILUePD42z93FzcuySbPrvzeC0OMwM98ws8VgGxGp87VjDW8jBYK4cKbmUsPh9+t1AsIHZION&#10;Y9JwIQ+L+ePDDHPjev6huA+lSBD2OWqoQmhzKX1RkUU/ci1x8k6usxiS7EppOuwT3DbyXamxtFhz&#10;WqiwpVVFxXn/ZzU0O3WKHy+Tz7iOx97a73WWbZTWz0/Dcgoi0BD+w/f21mgYZ3D7kn6AnF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AifQMUAAADbAAAADwAAAAAAAAAA&#10;AAAAAAChAgAAZHJzL2Rvd25yZXYueG1sUEsFBgAAAAAEAAQA+QAAAJMDAAAAAA==&#10;" strokeweight="1.5pt">
                                <v:stroke endarrow="block"/>
                              </v:shape>
                              <v:shape id="AutoShape 479" o:spid="_x0000_s1077" type="#_x0000_t32" style="position:absolute;left:2532177;top:4133717;width:2078495;height:387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du+qcMAAADbAAAADwAAAGRycy9kb3ducmV2LnhtbESPwWrDMBBE74H+g9hCb7GctCTBjRJK&#10;oMbXOgZfF2tjubVWtqUk7t9XhUKPw8y8YfbH2fbiRpPvHCtYJSkI4sbpjlsF1fl9uQPhA7LG3jEp&#10;+CYPx8PDYo+Zdnf+oFsZWhEh7DNUYEIYMil9Y8iiT9xAHL2LmyyGKKdW6gnvEW57uU7TjbTYcVww&#10;ONDJUPNVXq2C5+pzPKf1dlXnoxlzvPqiHHdKPT3Ob68gAs3hP/zXLrSCzQv8fok/QB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bvqnDAAAA2wAAAA8AAAAAAAAAAAAA&#10;AAAAoQIAAGRycy9kb3ducmV2LnhtbFBLBQYAAAAABAAEAPkAAACRAwAAAAA=&#10;" strokeweight="1.5pt"/>
                            </v:group>
                            <v:shape id="Text Box 4" o:spid="_x0000_s1078" type="#_x0000_t202" style="position:absolute;left:2111700;top:1023424;width:1094523;height:339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mUDsxQAA&#10;ANsAAAAPAAAAZHJzL2Rvd25yZXYueG1sRI9Pi8IwFMTvC36H8ARva6rrilSjSEFWxD345+Lt2Tzb&#10;YvNSm6jVT79ZEDwOM/MbZjJrTCluVLvCsoJeNwJBnFpdcKZgv1t8jkA4j6yxtEwKHuRgNm19TDDW&#10;9s4bum19JgKEXYwKcu+rWEqX5mTQdW1FHLyTrQ36IOtM6hrvAW5K2Y+ioTRYcFjIsaIkp/S8vRoF&#10;q2Txi5tj34yeZfKzPs2ry/7wrVSn3czHIDw1/h1+tZdawdcA/r+EHyC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ZQOzFAAAA2wAAAA8AAAAAAAAAAAAAAAAAlwIAAGRycy9k&#10;b3ducmV2LnhtbFBLBQYAAAAABAAEAPUAAACJAwAAAAA=&#10;" filled="f" stroked="f" strokeweight=".5pt">
                              <v:textbox>
                                <w:txbxContent>
                                  <w:p w14:paraId="282829D3" w14:textId="77777777" w:rsidR="00A40E33" w:rsidRDefault="00A40E33" w:rsidP="001F5D6A">
                                    <w:pPr>
                                      <w:pStyle w:val="NormalWeb"/>
                                      <w:spacing w:before="0" w:beforeAutospacing="0" w:after="0" w:afterAutospacing="0"/>
                                    </w:pPr>
                                    <w:r>
                                      <w:rPr>
                                        <w:rFonts w:eastAsia="Times New Roman"/>
                                        <w:b/>
                                        <w:bCs/>
                                        <w:color w:val="FF0000"/>
                                        <w:kern w:val="24"/>
                                        <w:sz w:val="20"/>
                                        <w:szCs w:val="20"/>
                                        <w:lang w:val="id-ID"/>
                                      </w:rPr>
                                      <w:t>-0.019036 (Sig)</w:t>
                                    </w:r>
                                  </w:p>
                                </w:txbxContent>
                              </v:textbox>
                            </v:shape>
                          </v:group>
                        </v:group>
                      </v:group>
                      <v:shape id="Text Box 56" o:spid="_x0000_s1079" type="#_x0000_t202" style="position:absolute;left:3711775;top:514513;width:628391;height:3825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5evewwAA&#10;ANsAAAAPAAAAZHJzL2Rvd25yZXYueG1sRI9Bi8IwFITvgv8hPMGbphYUqUaRguwi7kHXi7dn82yL&#10;zUttotb99UYQ9jjMzDfMfNmaStypcaVlBaNhBII4s7rkXMHhdz2YgnAeWWNlmRQ8ycFy0e3MMdH2&#10;wTu6730uAoRdggoK7+tESpcVZNANbU0cvLNtDPogm1zqBh8BbioZR9FEGiw5LBRYU1pQdtnfjIJN&#10;uv7B3Sk2078q/dqeV/X1cBwr1e+1qxkIT63/D3/a31pBHMP7S/gB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5evewwAAANsAAAAPAAAAAAAAAAAAAAAAAJcCAABkcnMvZG93&#10;bnJldi54bWxQSwUGAAAAAAQABAD1AAAAhwMAAAAA&#10;" filled="f" stroked="f" strokeweight=".5pt">
                        <v:textbox>
                          <w:txbxContent>
                            <w:p w14:paraId="4A406B47"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0.038048 (T Sig)</w:t>
                              </w:r>
                            </w:p>
                          </w:txbxContent>
                        </v:textbox>
                      </v:shape>
                      <v:shape id="Text Box 57" o:spid="_x0000_s1080" type="#_x0000_t202" style="position:absolute;left:3711775;top:1193032;width:628391;height:3093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U5FxQAA&#10;ANsAAAAPAAAAZHJzL2Rvd25yZXYueG1sRI9Pi8IwFMTvC/sdwlvwtqZWFO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pTkXFAAAA2wAAAA8AAAAAAAAAAAAAAAAAlwIAAGRycy9k&#10;b3ducmV2LnhtbFBLBQYAAAAABAAEAPUAAACJAwAAAAA=&#10;" filled="f" stroked="f" strokeweight=".5pt">
                        <v:textbox>
                          <w:txbxContent>
                            <w:p w14:paraId="7C24467C"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0.158300 (T Sig)</w:t>
                              </w:r>
                            </w:p>
                          </w:txbxContent>
                        </v:textbox>
                      </v:shape>
                      <v:shape id="Text Box 58" o:spid="_x0000_s1081" type="#_x0000_t202" style="position:absolute;left:3406063;top:1948123;width:1041189;height:2994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NYxxQAA&#10;ANsAAAAPAAAAZHJzL2Rvd25yZXYueG1sRI9Pi8IwFMTvC/sdwlvwtqYWFe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VA1jHFAAAA2wAAAA8AAAAAAAAAAAAAAAAAlwIAAGRycy9k&#10;b3ducmV2LnhtbFBLBQYAAAAABAAEAPUAAACJAwAAAAA=&#10;" filled="f" stroked="f" strokeweight=".5pt">
                        <v:textbox>
                          <w:txbxContent>
                            <w:p w14:paraId="7194A246" w14:textId="77777777" w:rsidR="00A40E33" w:rsidRDefault="00A40E33" w:rsidP="001F5D6A">
                              <w:pPr>
                                <w:pStyle w:val="NormalWeb"/>
                                <w:spacing w:before="0" w:beforeAutospacing="0" w:after="0" w:afterAutospacing="0"/>
                              </w:pPr>
                              <w:r>
                                <w:rPr>
                                  <w:rFonts w:eastAsia="Times New Roman"/>
                                  <w:b/>
                                  <w:bCs/>
                                  <w:color w:val="FF0000"/>
                                  <w:kern w:val="24"/>
                                  <w:sz w:val="20"/>
                                  <w:szCs w:val="20"/>
                                  <w:lang w:val="id-ID"/>
                                </w:rPr>
                                <w:t>-0.413841 (S</w:t>
                              </w:r>
                              <w:r>
                                <w:rPr>
                                  <w:rFonts w:eastAsia="Times New Roman"/>
                                  <w:b/>
                                  <w:bCs/>
                                  <w:color w:val="FF0000"/>
                                  <w:kern w:val="24"/>
                                  <w:sz w:val="20"/>
                                  <w:szCs w:val="20"/>
                                </w:rPr>
                                <w:t>ig</w:t>
                              </w:r>
                              <w:r>
                                <w:rPr>
                                  <w:rFonts w:eastAsia="Times New Roman"/>
                                  <w:b/>
                                  <w:bCs/>
                                  <w:color w:val="FF0000"/>
                                  <w:kern w:val="24"/>
                                  <w:sz w:val="20"/>
                                  <w:szCs w:val="20"/>
                                  <w:lang w:val="id-ID"/>
                                </w:rPr>
                                <w:t>)</w:t>
                              </w:r>
                            </w:p>
                          </w:txbxContent>
                        </v:textbox>
                      </v:shape>
                      <v:shape id="Text Box 59" o:spid="_x0000_s1082" type="#_x0000_t202" style="position:absolute;left:3655602;top:2267354;width:617897;height:3392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HOqxQAA&#10;ANsAAAAPAAAAZHJzL2Rvd25yZXYueG1sRI9Ba8JAFITvQv/D8grezMaAImlWkYC0SHvQeuntNftM&#10;gtm3aXabpP31riB4HGbmGybbjKYRPXWutqxgHsUgiAuray4VnD53sxUI55E1NpZJwR852KyfJhmm&#10;2g58oP7oSxEg7FJUUHnfplK6oiKDLrItcfDOtjPog+xKqTscAtw0MonjpTRYc1iosKW8ouJy/DUK&#10;9vnuAw/fiVn9N/nr+3nb/py+FkpNn8ftCwhPo3+E7+03rSBZwO1L+AFyf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oMc6rFAAAA2wAAAA8AAAAAAAAAAAAAAAAAlwIAAGRycy9k&#10;b3ducmV2LnhtbFBLBQYAAAAABAAEAPUAAACJAwAAAAA=&#10;" filled="f" stroked="f" strokeweight=".5pt">
                        <v:textbox>
                          <w:txbxContent>
                            <w:p w14:paraId="0BACF911"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0.075268 (T Sig)</w:t>
                              </w:r>
                            </w:p>
                          </w:txbxContent>
                        </v:textbox>
                      </v:shape>
                      <v:shape id="Text Box 60" o:spid="_x0000_s1083" type="#_x0000_t202" style="position:absolute;left:3298200;top:2815154;width:1186545;height:316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3u3dxgAA&#10;ANsAAAAPAAAAZHJzL2Rvd25yZXYueG1sRI9Ba8JAFITvhf6H5RV6azYGKpJmDSEglVIP2lx6e80+&#10;k2D2bZpdNe2vdwXB4zAz3zBZPplenGh0nWUFsygGQVxb3XGjoPpavSxAOI+ssbdMCv7IQb58fMgw&#10;1fbMWzrtfCMChF2KClrvh1RKV7dk0EV2IA7e3o4GfZBjI/WI5wA3vUzieC4NdhwWWhyobKk+7I5G&#10;wUe52uD2JzGL/758/9wXw2/1/arU89NUvIHwNPl7+NZeawXJHK5fwg+Qy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63u3dxgAAANsAAAAPAAAAAAAAAAAAAAAAAJcCAABkcnMv&#10;ZG93bnJldi54bWxQSwUGAAAAAAQABAD1AAAAigMAAAAA&#10;" filled="f" stroked="f" strokeweight=".5pt">
                        <v:textbox>
                          <w:txbxContent>
                            <w:p w14:paraId="391D290E"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-0.065455 (T Sig)</w:t>
                              </w:r>
                            </w:p>
                          </w:txbxContent>
                        </v:textbox>
                      </v:shape>
                      <v:shape id="Text Box 62" o:spid="_x0000_s1084" type="#_x0000_t202" style="position:absolute;left:3298200;top:3248669;width:1303372;height:2827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kkhGxQAA&#10;ANsAAAAPAAAAZHJzL2Rvd25yZXYueG1sRI9Li8JAEITvC/sfhl7wtk4M+CDrKBKQFdGDj4u33kyb&#10;BDM92cyo0V/vCILHoqq+osbT1lTiQo0rLSvodSMQxJnVJecK9rv59wiE88gaK8uk4EYOppPPjzEm&#10;2l55Q5etz0WAsEtQQeF9nUjpsoIMuq6tiYN3tI1BH2STS93gNcBNJeMoGkiDJYeFAmtKC8pO27NR&#10;sEzna9z8xWZ0r9Lf1XFW/+8PfaU6X+3sB4Sn1r/Dr/ZCK4iH8PwSfoC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WSSEbFAAAA2wAAAA8AAAAAAAAAAAAAAAAAlwIAAGRycy9k&#10;b3ducmV2LnhtbFBLBQYAAAAABAAEAPUAAACJAwAAAAA=&#10;" filled="f" stroked="f" strokeweight=".5pt">
                        <v:textbox>
                          <w:txbxContent>
                            <w:p w14:paraId="3A7ED0B9"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-0.036387 (T S</w:t>
                              </w:r>
                              <w:r>
                                <w:rPr>
                                  <w:rFonts w:eastAsia="Times New Roman"/>
                                  <w:b/>
                                  <w:bCs/>
                                  <w:color w:val="000000"/>
                                  <w:kern w:val="24"/>
                                  <w:sz w:val="20"/>
                                  <w:szCs w:val="20"/>
                                </w:rPr>
                                <w:t>ig</w:t>
                              </w:r>
                              <w:r>
                                <w:rPr>
                                  <w:rFonts w:eastAsia="Times New Roman"/>
                                  <w:b/>
                                  <w:bCs/>
                                  <w:color w:val="000000"/>
                                  <w:kern w:val="24"/>
                                  <w:sz w:val="20"/>
                                  <w:szCs w:val="20"/>
                                  <w:lang w:val="id-ID"/>
                                </w:rPr>
                                <w:t>)</w:t>
                              </w:r>
                            </w:p>
                          </w:txbxContent>
                        </v:textbox>
                      </v:shape>
                      <v:shape id="Text Box 63" o:spid="_x0000_s1085" type="#_x0000_t202" style="position:absolute;left:3729655;top:3898942;width:617897;height:3392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Ddw0wgAA&#10;ANsAAAAPAAAAZHJzL2Rvd25yZXYueG1sRE/LasJAFN0L/sNwC+500oAi0VEkIC3FLnxs3N1mrkno&#10;zJ2YmSaxX+8sCl0eznu9HawRHbW+dqzgdZaAIC6crrlUcDnvp0sQPiBrNI5JwYM8bDfj0Roz7Xo+&#10;UncKpYgh7DNUUIXQZFL6oiKLfuYa4sjdXGsxRNiWUrfYx3BrZJokC2mx5thQYUN5RcX36ccq+Mj3&#10;n3j8Su3y1+Rvh9uuuV+uc6UmL8NuBSLQEP7Ff+53rSCNY+OX+APk5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N3DTCAAAA2wAAAA8AAAAAAAAAAAAAAAAAlwIAAGRycy9kb3du&#10;cmV2LnhtbFBLBQYAAAAABAAEAPUAAACGAwAAAAA=&#10;" filled="f" stroked="f" strokeweight=".5pt">
                        <v:textbox>
                          <w:txbxContent>
                            <w:p w14:paraId="760DA0B1" w14:textId="77777777" w:rsidR="00A40E33" w:rsidRDefault="00A40E33" w:rsidP="001F5D6A">
                              <w:pPr>
                                <w:pStyle w:val="NormalWeb"/>
                                <w:spacing w:before="0" w:beforeAutospacing="0" w:after="0" w:afterAutospacing="0"/>
                              </w:pPr>
                              <w:r>
                                <w:rPr>
                                  <w:rFonts w:eastAsia="Times New Roman"/>
                                  <w:b/>
                                  <w:bCs/>
                                  <w:color w:val="000000"/>
                                  <w:kern w:val="24"/>
                                  <w:sz w:val="20"/>
                                  <w:szCs w:val="20"/>
                                  <w:lang w:val="id-ID"/>
                                </w:rPr>
                                <w:t>1.473858 (T Sig)</w:t>
                              </w:r>
                            </w:p>
                          </w:txbxContent>
                        </v:textbox>
                      </v:shape>
                    </v:group>
                  </v:group>
                </v:group>
                <w10:anchorlock/>
              </v:group>
            </w:pict>
          </mc:Fallback>
        </mc:AlternateContent>
      </w:r>
    </w:p>
    <w:p w14:paraId="2E26BF47" w14:textId="77777777" w:rsidR="006E769C" w:rsidRDefault="006E769C" w:rsidP="003431C1">
      <w:pPr>
        <w:ind w:left="-90"/>
        <w:jc w:val="center"/>
        <w:rPr>
          <w:lang w:val="id-ID"/>
        </w:rPr>
      </w:pPr>
    </w:p>
    <w:p w14:paraId="1F84E31B" w14:textId="77777777" w:rsidR="00DF6505" w:rsidRDefault="00DF6505" w:rsidP="0064329E">
      <w:pPr>
        <w:ind w:left="-90"/>
        <w:jc w:val="both"/>
        <w:rPr>
          <w:lang w:val="id-ID"/>
        </w:rPr>
      </w:pPr>
    </w:p>
    <w:p w14:paraId="48095441" w14:textId="77777777" w:rsidR="00B45CB8" w:rsidRDefault="00997FA4" w:rsidP="0064329E">
      <w:pPr>
        <w:ind w:left="-90"/>
        <w:jc w:val="both"/>
        <w:rPr>
          <w:lang w:val="id-ID"/>
        </w:rPr>
      </w:pPr>
      <w:r w:rsidRPr="00997FA4">
        <w:rPr>
          <w:lang w:val="id-ID"/>
        </w:rPr>
        <w:t>Based on Figure 1., that the results of model 1 and model 2 are done by a combined analysis, of the six independent variables shown from the regression coefficient is only two (four if with 90% significance level) that significantly affects profitability (ROA) and implies the firm value (TOBIN). Of the six independent variables used, only the independent variable growth of the firm (FG) ha</w:t>
      </w:r>
      <w:r w:rsidR="00FA1A31">
        <w:rPr>
          <w:lang w:val="id-ID"/>
        </w:rPr>
        <w:t>s a greater coefficient value of</w:t>
      </w:r>
      <w:r w:rsidRPr="00997FA4">
        <w:rPr>
          <w:lang w:val="id-ID"/>
        </w:rPr>
        <w:t xml:space="preserve"> the indirect effect on firm val</w:t>
      </w:r>
      <w:r w:rsidR="00FA1A31">
        <w:rPr>
          <w:lang w:val="id-ID"/>
        </w:rPr>
        <w:t>ue than the coefficient value of</w:t>
      </w:r>
      <w:r w:rsidRPr="00997FA4">
        <w:rPr>
          <w:lang w:val="id-ID"/>
        </w:rPr>
        <w:t xml:space="preserve"> its direct influence on firm value. On the coefficient value of independent variables CAR, NPL, LDR, BOPO and DG direct influence greater than coefficient value on indirect effect. In addition, profitability (ROA) has no significant effect on firm value (TOBIN). This suggests that profitability (ROA) can not mediate in relation to firm value (TOBIN)</w:t>
      </w:r>
      <w:r w:rsidR="00A83D57">
        <w:rPr>
          <w:lang w:val="id-ID"/>
        </w:rPr>
        <w:t>.</w:t>
      </w:r>
    </w:p>
    <w:p w14:paraId="28F22C76" w14:textId="77777777" w:rsidR="00B45CB8" w:rsidRDefault="00B45CB8" w:rsidP="0064329E">
      <w:pPr>
        <w:ind w:left="-90"/>
        <w:jc w:val="both"/>
        <w:rPr>
          <w:lang w:val="id-ID"/>
        </w:rPr>
      </w:pPr>
    </w:p>
    <w:p w14:paraId="6DA08574" w14:textId="429DE1B5" w:rsidR="00B45CB8" w:rsidRPr="00DF6505" w:rsidRDefault="00434D44" w:rsidP="00DF6505">
      <w:pPr>
        <w:numPr>
          <w:ilvl w:val="0"/>
          <w:numId w:val="25"/>
        </w:numPr>
        <w:ind w:left="284" w:hanging="426"/>
        <w:jc w:val="both"/>
        <w:rPr>
          <w:b/>
          <w:color w:val="E36C0A"/>
          <w:lang w:val="id-ID"/>
        </w:rPr>
      </w:pPr>
      <w:r>
        <w:rPr>
          <w:b/>
          <w:color w:val="E36C0A"/>
          <w:lang w:val="id-ID"/>
        </w:rPr>
        <w:t>CONCLUSIONS</w:t>
      </w:r>
    </w:p>
    <w:p w14:paraId="422CA422" w14:textId="77777777" w:rsidR="00DF6505" w:rsidRDefault="00DF6505" w:rsidP="00DF6505">
      <w:pPr>
        <w:ind w:left="284"/>
        <w:jc w:val="both"/>
        <w:rPr>
          <w:b/>
          <w:lang w:val="id-ID"/>
        </w:rPr>
      </w:pPr>
    </w:p>
    <w:p w14:paraId="45A182E5" w14:textId="77777777" w:rsidR="00997FA4" w:rsidRDefault="00997FA4" w:rsidP="00997FA4">
      <w:pPr>
        <w:pStyle w:val="ListParagraph"/>
        <w:numPr>
          <w:ilvl w:val="0"/>
          <w:numId w:val="26"/>
        </w:numPr>
        <w:jc w:val="both"/>
      </w:pPr>
      <w:r>
        <w:t>Company Growth (F</w:t>
      </w:r>
      <w:r w:rsidR="00FA1A31">
        <w:t xml:space="preserve">G) has a significant effect </w:t>
      </w:r>
      <w:r w:rsidR="00FA1A31">
        <w:rPr>
          <w:lang w:val="id-ID"/>
        </w:rPr>
        <w:t>of</w:t>
      </w:r>
      <w:r>
        <w:t xml:space="preserve"> positive coefficient on Profitability (ROA).</w:t>
      </w:r>
    </w:p>
    <w:p w14:paraId="60275D29" w14:textId="77777777" w:rsidR="00997FA4" w:rsidRDefault="00997FA4" w:rsidP="00997FA4">
      <w:pPr>
        <w:pStyle w:val="ListParagraph"/>
        <w:numPr>
          <w:ilvl w:val="0"/>
          <w:numId w:val="26"/>
        </w:numPr>
        <w:jc w:val="both"/>
      </w:pPr>
      <w:r>
        <w:t>Capital Adequacy Ratio (CAR</w:t>
      </w:r>
      <w:r w:rsidR="00FA1A31">
        <w:t>) ha</w:t>
      </w:r>
      <w:r w:rsidR="00FA1A31">
        <w:rPr>
          <w:lang w:val="id-ID"/>
        </w:rPr>
        <w:t>s</w:t>
      </w:r>
      <w:r w:rsidR="00FA1A31">
        <w:t xml:space="preserve"> a significant effect </w:t>
      </w:r>
      <w:r w:rsidR="00FA1A31">
        <w:rPr>
          <w:lang w:val="id-ID"/>
        </w:rPr>
        <w:t>of</w:t>
      </w:r>
      <w:r>
        <w:t xml:space="preserve"> negative coefficient to Profitability (ROA).</w:t>
      </w:r>
    </w:p>
    <w:p w14:paraId="612DE328" w14:textId="77777777" w:rsidR="00997FA4" w:rsidRDefault="00997FA4" w:rsidP="00997FA4">
      <w:pPr>
        <w:pStyle w:val="ListParagraph"/>
        <w:numPr>
          <w:ilvl w:val="0"/>
          <w:numId w:val="26"/>
        </w:numPr>
        <w:jc w:val="both"/>
      </w:pPr>
      <w:r>
        <w:t>Non Performing Loan (NP</w:t>
      </w:r>
      <w:r w:rsidR="00FA1A31">
        <w:t xml:space="preserve">L) has a significant effect </w:t>
      </w:r>
      <w:r w:rsidR="00FA1A31">
        <w:rPr>
          <w:lang w:val="id-ID"/>
        </w:rPr>
        <w:t>of</w:t>
      </w:r>
      <w:r>
        <w:t xml:space="preserve"> negative coefficient on Profitability (ROA).</w:t>
      </w:r>
    </w:p>
    <w:p w14:paraId="387059A3" w14:textId="77777777" w:rsidR="00997FA4" w:rsidRDefault="00997FA4" w:rsidP="00997FA4">
      <w:pPr>
        <w:pStyle w:val="ListParagraph"/>
        <w:numPr>
          <w:ilvl w:val="0"/>
          <w:numId w:val="26"/>
        </w:numPr>
        <w:jc w:val="both"/>
      </w:pPr>
      <w:r>
        <w:t>Loan to Deposit Ratio (LDR</w:t>
      </w:r>
      <w:r w:rsidR="00FA1A31">
        <w:t xml:space="preserve">) has no significant effect </w:t>
      </w:r>
      <w:r w:rsidR="00FA1A31">
        <w:rPr>
          <w:lang w:val="id-ID"/>
        </w:rPr>
        <w:t>of</w:t>
      </w:r>
      <w:r>
        <w:t xml:space="preserve"> positive coefficient on Profitability (ROA).</w:t>
      </w:r>
    </w:p>
    <w:p w14:paraId="492B8F77" w14:textId="77777777" w:rsidR="00997FA4" w:rsidRDefault="00997FA4" w:rsidP="00997FA4">
      <w:pPr>
        <w:pStyle w:val="ListParagraph"/>
        <w:numPr>
          <w:ilvl w:val="0"/>
          <w:numId w:val="26"/>
        </w:numPr>
        <w:jc w:val="both"/>
      </w:pPr>
      <w:r>
        <w:t>Operational Income Operating Cost (BOPO) has no s</w:t>
      </w:r>
      <w:r w:rsidR="002F55E1">
        <w:t xml:space="preserve">ignificant effect </w:t>
      </w:r>
      <w:r w:rsidR="002F55E1">
        <w:rPr>
          <w:lang w:val="id-ID"/>
        </w:rPr>
        <w:t>of</w:t>
      </w:r>
      <w:r>
        <w:t xml:space="preserve"> positive coefficient on Profitability (ROA).</w:t>
      </w:r>
    </w:p>
    <w:p w14:paraId="272BAC7D" w14:textId="77777777" w:rsidR="00997FA4" w:rsidRDefault="00997FA4" w:rsidP="00997FA4">
      <w:pPr>
        <w:pStyle w:val="ListParagraph"/>
        <w:numPr>
          <w:ilvl w:val="0"/>
          <w:numId w:val="26"/>
        </w:numPr>
        <w:jc w:val="both"/>
      </w:pPr>
      <w:r>
        <w:lastRenderedPageBreak/>
        <w:t>The growth of DPK (DG) signific</w:t>
      </w:r>
      <w:r w:rsidR="002F55E1">
        <w:t xml:space="preserve">antly affects profitability </w:t>
      </w:r>
      <w:r w:rsidR="002F55E1">
        <w:rPr>
          <w:lang w:val="id-ID"/>
        </w:rPr>
        <w:t>of</w:t>
      </w:r>
      <w:r>
        <w:t xml:space="preserve"> negative coefficient to profitability (ROA).</w:t>
      </w:r>
    </w:p>
    <w:p w14:paraId="5184EC3C" w14:textId="77777777" w:rsidR="000666D8" w:rsidRPr="001B33F8" w:rsidRDefault="00997FA4" w:rsidP="00997FA4">
      <w:pPr>
        <w:pStyle w:val="ListParagraph"/>
        <w:numPr>
          <w:ilvl w:val="0"/>
          <w:numId w:val="26"/>
        </w:numPr>
        <w:jc w:val="both"/>
        <w:rPr>
          <w:b/>
          <w:lang w:val="id-ID"/>
        </w:rPr>
      </w:pPr>
      <w:r>
        <w:t xml:space="preserve">Corporate growth, Capital Adequacy Ratio (CAR), Non Performing Loan (NPL), Loan to Deposit Ratio (LDR), Operational Income Operating Cost (BOPO) and DPK (DG) growth together significantly influence Profitability (ROA ). The independent variable that is </w:t>
      </w:r>
      <w:r w:rsidR="002F55E1">
        <w:rPr>
          <w:lang w:val="id-ID"/>
        </w:rPr>
        <w:t xml:space="preserve">the </w:t>
      </w:r>
      <w:r>
        <w:t>most dominant influence on the dependent variable of profitability (ROA) is the independent variable of Non Performing Loan (NPL). This empirical finding is consistent with Hypothesis 7 which states the independent variable of growth of company (FG), Capital Adequacy Ratio (CAR), Non Performing Loan (NPL), Loan to Deposit Ratio (LDR), Operational Income Operating Cost (BOPO), and growth of DPK (DG) simultaneously affect the dependent variable profitability (ROA). The most sensitive banking shares or banks that have the larges</w:t>
      </w:r>
      <w:r w:rsidR="002F55E1">
        <w:t>t average profitability (ROA) are</w:t>
      </w:r>
      <w:r>
        <w:t xml:space="preserve"> PT. Bank Internasional Indonesia (BNII) and the least sensitive banks or banks with the smallest average profitability (ROA) are PT. Bank MNC International Tbk. (BABP). All the independent variables used in this model together account for 25.22 percent of variations in changes in bank profitability performance, while 74.78 percent is explained by other variables outside of this research model</w:t>
      </w:r>
      <w:r w:rsidR="001B33F8">
        <w:t xml:space="preserve">. </w:t>
      </w:r>
    </w:p>
    <w:p w14:paraId="736795CE" w14:textId="77777777" w:rsidR="00997FA4" w:rsidRDefault="00997FA4" w:rsidP="00997FA4">
      <w:pPr>
        <w:pStyle w:val="ListParagraph"/>
        <w:numPr>
          <w:ilvl w:val="0"/>
          <w:numId w:val="26"/>
        </w:numPr>
        <w:jc w:val="both"/>
      </w:pPr>
      <w:r>
        <w:t>Company growth (FG</w:t>
      </w:r>
      <w:r w:rsidR="002F55E1">
        <w:t xml:space="preserve">) has no significant effect </w:t>
      </w:r>
      <w:r w:rsidR="002F55E1">
        <w:rPr>
          <w:lang w:val="id-ID"/>
        </w:rPr>
        <w:t>of</w:t>
      </w:r>
      <w:r>
        <w:t xml:space="preserve"> the direction of positive coefficient on Corporate Value (TOBIN).</w:t>
      </w:r>
    </w:p>
    <w:p w14:paraId="67EB0222" w14:textId="77777777" w:rsidR="00997FA4" w:rsidRDefault="00997FA4" w:rsidP="00997FA4">
      <w:pPr>
        <w:pStyle w:val="ListParagraph"/>
        <w:numPr>
          <w:ilvl w:val="0"/>
          <w:numId w:val="26"/>
        </w:numPr>
        <w:jc w:val="both"/>
      </w:pPr>
      <w:r>
        <w:t>Capital Adequacy Ratio (CAR</w:t>
      </w:r>
      <w:r w:rsidR="002F55E1">
        <w:t xml:space="preserve">) has no significant effect </w:t>
      </w:r>
      <w:r w:rsidR="002F55E1">
        <w:rPr>
          <w:lang w:val="id-ID"/>
        </w:rPr>
        <w:t>of</w:t>
      </w:r>
      <w:r>
        <w:t xml:space="preserve"> the direction of positive coefficient on Corporate Value (TOBIN).</w:t>
      </w:r>
    </w:p>
    <w:p w14:paraId="3DBDCDC2" w14:textId="77777777" w:rsidR="00997FA4" w:rsidRDefault="00997FA4" w:rsidP="00997FA4">
      <w:pPr>
        <w:pStyle w:val="ListParagraph"/>
        <w:numPr>
          <w:ilvl w:val="0"/>
          <w:numId w:val="26"/>
        </w:numPr>
        <w:jc w:val="both"/>
      </w:pPr>
      <w:r>
        <w:t>Non Performing Loan (NP</w:t>
      </w:r>
      <w:r w:rsidR="002F55E1">
        <w:t xml:space="preserve">L) has a significant effect </w:t>
      </w:r>
      <w:r w:rsidR="002F55E1">
        <w:rPr>
          <w:lang w:val="id-ID"/>
        </w:rPr>
        <w:t>of</w:t>
      </w:r>
      <w:r>
        <w:t xml:space="preserve"> negative coefficient on Corporate Value (TOBIN).</w:t>
      </w:r>
    </w:p>
    <w:p w14:paraId="358B6B89" w14:textId="77777777" w:rsidR="00997FA4" w:rsidRDefault="00997FA4" w:rsidP="00997FA4">
      <w:pPr>
        <w:pStyle w:val="ListParagraph"/>
        <w:numPr>
          <w:ilvl w:val="0"/>
          <w:numId w:val="26"/>
        </w:numPr>
        <w:jc w:val="both"/>
      </w:pPr>
      <w:r>
        <w:t>Loan to Deposit Ratio (LDR) has no significant effec</w:t>
      </w:r>
      <w:r w:rsidR="002F55E1">
        <w:t xml:space="preserve">t </w:t>
      </w:r>
      <w:r w:rsidR="002F55E1">
        <w:rPr>
          <w:lang w:val="id-ID"/>
        </w:rPr>
        <w:t>of</w:t>
      </w:r>
      <w:r>
        <w:t xml:space="preserve"> negative coefficient toward Value of Company (TOBIN).</w:t>
      </w:r>
    </w:p>
    <w:p w14:paraId="40A93B5D" w14:textId="77777777" w:rsidR="00997FA4" w:rsidRDefault="00997FA4" w:rsidP="00997FA4">
      <w:pPr>
        <w:pStyle w:val="ListParagraph"/>
        <w:numPr>
          <w:ilvl w:val="0"/>
          <w:numId w:val="26"/>
        </w:numPr>
        <w:jc w:val="both"/>
      </w:pPr>
      <w:r>
        <w:t>Operational Income Operating Cost (BOPO</w:t>
      </w:r>
      <w:r w:rsidR="002F55E1">
        <w:t xml:space="preserve">) has no significant effect </w:t>
      </w:r>
      <w:r w:rsidR="002F55E1">
        <w:rPr>
          <w:lang w:val="id-ID"/>
        </w:rPr>
        <w:t>if</w:t>
      </w:r>
      <w:r>
        <w:t xml:space="preserve"> negative coefficient toward Value of Company (TOBIN).</w:t>
      </w:r>
    </w:p>
    <w:p w14:paraId="37573B66" w14:textId="77777777" w:rsidR="00997FA4" w:rsidRDefault="00997FA4" w:rsidP="00997FA4">
      <w:pPr>
        <w:pStyle w:val="ListParagraph"/>
        <w:numPr>
          <w:ilvl w:val="0"/>
          <w:numId w:val="26"/>
        </w:numPr>
        <w:jc w:val="both"/>
      </w:pPr>
      <w:r>
        <w:t>The growth of DPK (DG) significantly influences the positive coefficient on Corporate Value (TOBIN).</w:t>
      </w:r>
    </w:p>
    <w:p w14:paraId="288E7F03" w14:textId="77777777" w:rsidR="00997FA4" w:rsidRDefault="00997FA4" w:rsidP="00997FA4">
      <w:pPr>
        <w:pStyle w:val="ListParagraph"/>
        <w:numPr>
          <w:ilvl w:val="0"/>
          <w:numId w:val="26"/>
        </w:numPr>
        <w:jc w:val="both"/>
      </w:pPr>
      <w:r>
        <w:t>Profitability (ROA) has no significant effect on the direction of positive coefficient on Corporate Value (TOBIN).</w:t>
      </w:r>
    </w:p>
    <w:p w14:paraId="7DAB7073" w14:textId="77777777" w:rsidR="00EC1FD1" w:rsidRDefault="00997FA4" w:rsidP="00997FA4">
      <w:pPr>
        <w:pStyle w:val="ListParagraph"/>
        <w:numPr>
          <w:ilvl w:val="0"/>
          <w:numId w:val="26"/>
        </w:numPr>
        <w:jc w:val="both"/>
        <w:rPr>
          <w:b/>
          <w:lang w:val="id-ID"/>
        </w:rPr>
      </w:pPr>
      <w:r>
        <w:t xml:space="preserve">Company growth (FG), Capital Adequacy Ratio (CAR), Non Performing Loan (NPL), Loan to Deposit Ratio (LIQUID), Operational Income Operating Cost (BOPO), DPK (DG) and Profitability (ROA) growth together -the significant effect on Corporate Value (TOBIN). This empirical finding is consistent with the hypothesis 15 which states the independent variable growth of the company (FG), Capital Adequacy Ratio (CAR), Non Performing Loan (NPL), Loan to Deposit Ratio (LDR), Operational Income Operating Cost (BOPO) DG) and Profitability (ROA) jointly affect the dependent variable Corporate Value (TOBIN). The independent variable that is the most dominant influence on the dependent variable of firm value (TOBIN) is the independent variable of DPK growth (DG). The most sensitive banking shares or banks that have the average value of the company (Tobin) </w:t>
      </w:r>
      <w:r w:rsidR="002F55E1">
        <w:rPr>
          <w:lang w:val="id-ID"/>
        </w:rPr>
        <w:t xml:space="preserve">the </w:t>
      </w:r>
      <w:r w:rsidR="002F55E1">
        <w:t xml:space="preserve">largest </w:t>
      </w:r>
      <w:r w:rsidR="002F55E1">
        <w:rPr>
          <w:lang w:val="id-ID"/>
        </w:rPr>
        <w:t>are</w:t>
      </w:r>
      <w:r>
        <w:t xml:space="preserve"> PT. Bank Central Asia Tbk. (BBCA) with the total value of and the least sensitive bank or bank that has the average value of the company (Tobin) is the smallest PT. Bank Victoria International Tbk. (BVIC). All the independent variables used in this model together account for 10.64 percent of the variation in Enterprise Value (TOBIN), while 89.36 percent are explained by other outside variables from this research model</w:t>
      </w:r>
      <w:r w:rsidR="001B33F8">
        <w:t xml:space="preserve">. </w:t>
      </w:r>
    </w:p>
    <w:p w14:paraId="3505EE3A" w14:textId="77777777" w:rsidR="006D454D" w:rsidRDefault="006D454D" w:rsidP="006D454D">
      <w:pPr>
        <w:pStyle w:val="ListParagraph"/>
        <w:ind w:left="270"/>
        <w:jc w:val="both"/>
        <w:rPr>
          <w:b/>
          <w:lang w:val="id-ID"/>
        </w:rPr>
      </w:pPr>
    </w:p>
    <w:p w14:paraId="76042227" w14:textId="77777777" w:rsidR="00D646A3" w:rsidRDefault="00FB4189" w:rsidP="00FB4189">
      <w:pPr>
        <w:autoSpaceDE w:val="0"/>
        <w:autoSpaceDN w:val="0"/>
        <w:adjustRightInd w:val="0"/>
        <w:ind w:left="630" w:hanging="630"/>
        <w:jc w:val="center"/>
        <w:rPr>
          <w:b/>
          <w:color w:val="E36C0A"/>
          <w:lang w:val="id-ID"/>
        </w:rPr>
      </w:pPr>
      <w:r w:rsidRPr="00FB4189">
        <w:rPr>
          <w:b/>
          <w:color w:val="E36C0A"/>
          <w:lang w:val="id-ID"/>
        </w:rPr>
        <w:t>REFERENCES</w:t>
      </w:r>
    </w:p>
    <w:p w14:paraId="179F16A7" w14:textId="77777777" w:rsidR="00FB4189" w:rsidRPr="00FB4189" w:rsidRDefault="00FB4189" w:rsidP="00FB4189">
      <w:pPr>
        <w:autoSpaceDE w:val="0"/>
        <w:autoSpaceDN w:val="0"/>
        <w:adjustRightInd w:val="0"/>
        <w:ind w:left="630" w:hanging="630"/>
        <w:jc w:val="center"/>
        <w:rPr>
          <w:b/>
          <w:color w:val="E36C0A"/>
          <w:lang w:val="id-ID"/>
        </w:rPr>
      </w:pPr>
    </w:p>
    <w:p w14:paraId="4D34B3A6" w14:textId="77777777" w:rsidR="00063D6A" w:rsidRPr="00434D44" w:rsidRDefault="00063D6A" w:rsidP="00063D6A">
      <w:pPr>
        <w:autoSpaceDE w:val="0"/>
        <w:autoSpaceDN w:val="0"/>
        <w:adjustRightInd w:val="0"/>
        <w:ind w:left="630" w:hanging="630"/>
        <w:jc w:val="both"/>
        <w:rPr>
          <w:lang w:eastAsia="id-ID"/>
        </w:rPr>
      </w:pPr>
      <w:r w:rsidRPr="00434D44">
        <w:rPr>
          <w:rFonts w:cs="Times-Bold"/>
          <w:bCs/>
          <w:lang w:val="en-GB"/>
        </w:rPr>
        <w:t>Aberlof, B.A</w:t>
      </w:r>
      <w:r w:rsidRPr="00434D44">
        <w:rPr>
          <w:rFonts w:cs="Times-Bold"/>
          <w:bCs/>
          <w:lang w:val="id-ID"/>
        </w:rPr>
        <w:t>. (August 1970)</w:t>
      </w:r>
      <w:r w:rsidRPr="00434D44">
        <w:rPr>
          <w:rFonts w:cs="Times-Bold"/>
          <w:bCs/>
          <w:lang w:val="en-GB"/>
        </w:rPr>
        <w:t xml:space="preserve"> “The Market Lemon’s Quality Uncertainty and the Market</w:t>
      </w:r>
      <w:r w:rsidRPr="00434D44">
        <w:rPr>
          <w:rFonts w:cs="Times-Bold"/>
          <w:bCs/>
          <w:lang w:val="id-ID"/>
        </w:rPr>
        <w:t xml:space="preserve"> </w:t>
      </w:r>
      <w:r w:rsidRPr="00434D44">
        <w:rPr>
          <w:rFonts w:cs="Times-Bold"/>
          <w:bCs/>
          <w:lang w:val="en-GB"/>
        </w:rPr>
        <w:t>Mechanism“</w:t>
      </w:r>
      <w:r w:rsidRPr="00434D44">
        <w:rPr>
          <w:rFonts w:cs="Times-Bold"/>
          <w:bCs/>
          <w:lang w:val="id-ID"/>
        </w:rPr>
        <w:t>,</w:t>
      </w:r>
      <w:r w:rsidRPr="00434D44">
        <w:rPr>
          <w:rFonts w:cs="Times-Bold"/>
          <w:bCs/>
          <w:lang w:val="en-GB"/>
        </w:rPr>
        <w:t xml:space="preserve"> Quarterly Journal of Economics 84, pp.488-500.</w:t>
      </w:r>
    </w:p>
    <w:p w14:paraId="79DCBCDF" w14:textId="77777777" w:rsidR="00063D6A" w:rsidRPr="00434D44" w:rsidRDefault="00063D6A" w:rsidP="00063D6A">
      <w:pPr>
        <w:tabs>
          <w:tab w:val="left" w:pos="5877"/>
        </w:tabs>
        <w:autoSpaceDE w:val="0"/>
        <w:autoSpaceDN w:val="0"/>
        <w:adjustRightInd w:val="0"/>
        <w:ind w:left="540" w:hanging="540"/>
        <w:jc w:val="both"/>
        <w:rPr>
          <w:color w:val="000000"/>
          <w:lang w:eastAsia="id-ID"/>
        </w:rPr>
      </w:pPr>
      <w:r w:rsidRPr="00434D44">
        <w:rPr>
          <w:lang w:eastAsia="id-ID"/>
        </w:rPr>
        <w:lastRenderedPageBreak/>
        <w:t>Agustiningrum, R. (2013) “</w:t>
      </w:r>
      <w:r w:rsidR="00D646A3" w:rsidRPr="00434D44">
        <w:rPr>
          <w:lang w:eastAsia="id-ID"/>
        </w:rPr>
        <w:t>Influence Analysis of CAR, NPL, and LDR on Profitability in Banking Companies</w:t>
      </w:r>
      <w:r w:rsidRPr="00434D44">
        <w:rPr>
          <w:lang w:eastAsia="id-ID"/>
        </w:rPr>
        <w:t>,” Jurnal Bisnis dan Ekonomi, Vol. 2 (8), Ha</w:t>
      </w:r>
      <w:r w:rsidR="00D646A3" w:rsidRPr="00434D44">
        <w:t xml:space="preserve"> </w:t>
      </w:r>
      <w:r w:rsidR="00D646A3" w:rsidRPr="00434D44">
        <w:rPr>
          <w:lang w:eastAsia="id-ID"/>
        </w:rPr>
        <w:t xml:space="preserve">Journal of Business and Economics </w:t>
      </w:r>
      <w:r w:rsidRPr="00434D44">
        <w:rPr>
          <w:lang w:eastAsia="id-ID"/>
        </w:rPr>
        <w:t>l. 885-902</w:t>
      </w:r>
    </w:p>
    <w:p w14:paraId="2446A17D" w14:textId="77777777" w:rsidR="00063D6A" w:rsidRPr="00434D44" w:rsidRDefault="00063D6A" w:rsidP="00063D6A">
      <w:pPr>
        <w:autoSpaceDE w:val="0"/>
        <w:autoSpaceDN w:val="0"/>
        <w:adjustRightInd w:val="0"/>
        <w:ind w:left="540" w:hanging="540"/>
        <w:jc w:val="both"/>
        <w:rPr>
          <w:rFonts w:cs="TimesNewRomanPSMT"/>
          <w:szCs w:val="23"/>
          <w:lang w:eastAsia="id-ID"/>
        </w:rPr>
      </w:pPr>
      <w:r w:rsidRPr="00434D44">
        <w:rPr>
          <w:color w:val="000000"/>
          <w:lang w:val="it-IT" w:eastAsia="id-ID"/>
        </w:rPr>
        <w:t xml:space="preserve">Almilia, Luciana Spica dan </w:t>
      </w:r>
      <w:r w:rsidRPr="00434D44">
        <w:rPr>
          <w:color w:val="000000"/>
          <w:lang w:val="id-ID" w:eastAsia="id-ID"/>
        </w:rPr>
        <w:t xml:space="preserve">Sifa, </w:t>
      </w:r>
      <w:r w:rsidRPr="00434D44">
        <w:rPr>
          <w:color w:val="000000"/>
          <w:lang w:val="it-IT" w:eastAsia="id-ID"/>
        </w:rPr>
        <w:t>Lailul I</w:t>
      </w:r>
      <w:r w:rsidRPr="00434D44">
        <w:rPr>
          <w:color w:val="000000"/>
          <w:lang w:val="id-ID" w:eastAsia="id-ID"/>
        </w:rPr>
        <w:t xml:space="preserve"> (</w:t>
      </w:r>
      <w:r w:rsidRPr="00434D44">
        <w:rPr>
          <w:color w:val="000000"/>
          <w:lang w:val="it-IT" w:eastAsia="id-ID"/>
        </w:rPr>
        <w:t>2006</w:t>
      </w:r>
      <w:r w:rsidRPr="00434D44">
        <w:rPr>
          <w:color w:val="000000"/>
          <w:lang w:val="id-ID" w:eastAsia="id-ID"/>
        </w:rPr>
        <w:t>),</w:t>
      </w:r>
      <w:r w:rsidRPr="00434D44">
        <w:rPr>
          <w:color w:val="000000"/>
          <w:lang w:val="it-IT" w:eastAsia="id-ID"/>
        </w:rPr>
        <w:t xml:space="preserve"> ”</w:t>
      </w:r>
      <w:r w:rsidR="00D646A3" w:rsidRPr="00434D44">
        <w:t xml:space="preserve"> </w:t>
      </w:r>
      <w:r w:rsidR="00D646A3" w:rsidRPr="00434D44">
        <w:rPr>
          <w:color w:val="000000"/>
          <w:lang w:val="it-IT" w:eastAsia="id-ID"/>
        </w:rPr>
        <w:t>Market Reactions Publications of Corporate Governance Perception Index on Companies Listed on the Jakarta Stock Exchange</w:t>
      </w:r>
      <w:r w:rsidRPr="00434D44">
        <w:rPr>
          <w:color w:val="000000"/>
          <w:lang w:val="it-IT" w:eastAsia="id-ID"/>
        </w:rPr>
        <w:t xml:space="preserve">,” </w:t>
      </w:r>
      <w:r w:rsidR="00D646A3" w:rsidRPr="00434D44">
        <w:rPr>
          <w:color w:val="000000"/>
          <w:lang w:val="it-IT" w:eastAsia="id-ID"/>
        </w:rPr>
        <w:t>National Symposium on Accounting</w:t>
      </w:r>
      <w:r w:rsidRPr="00434D44">
        <w:rPr>
          <w:color w:val="000000"/>
          <w:lang w:val="it-IT" w:eastAsia="id-ID"/>
        </w:rPr>
        <w:t xml:space="preserve">  IX, Padang,   23-26 Agustus.</w:t>
      </w:r>
    </w:p>
    <w:p w14:paraId="44ADF03B" w14:textId="77777777" w:rsidR="00063D6A" w:rsidRPr="00434D44" w:rsidRDefault="00063D6A" w:rsidP="00063D6A">
      <w:pPr>
        <w:autoSpaceDE w:val="0"/>
        <w:autoSpaceDN w:val="0"/>
        <w:adjustRightInd w:val="0"/>
        <w:ind w:left="540" w:hanging="540"/>
        <w:jc w:val="both"/>
        <w:rPr>
          <w:color w:val="000000"/>
          <w:lang w:eastAsia="id-ID"/>
        </w:rPr>
      </w:pPr>
      <w:r w:rsidRPr="00434D44">
        <w:rPr>
          <w:color w:val="000000"/>
          <w:lang w:eastAsia="id-ID"/>
        </w:rPr>
        <w:t xml:space="preserve">Alrashdan, A. (2002),” Profitability determinants of Jordanian Commercial Banks”, Master degree project, Al al-Bayt University, Mafraq, Jordan. </w:t>
      </w:r>
    </w:p>
    <w:p w14:paraId="5FE5EDA2" w14:textId="77777777" w:rsidR="00063D6A" w:rsidRPr="00434D44" w:rsidRDefault="00063D6A" w:rsidP="00063D6A">
      <w:pPr>
        <w:pStyle w:val="Default"/>
        <w:ind w:left="540" w:hanging="540"/>
        <w:jc w:val="both"/>
        <w:rPr>
          <w:rFonts w:ascii="Times New Roman" w:hAnsi="Times New Roman" w:cs="Times New Roman"/>
          <w:lang w:eastAsia="id-ID"/>
        </w:rPr>
      </w:pPr>
      <w:r w:rsidRPr="00434D44">
        <w:rPr>
          <w:rFonts w:ascii="Times New Roman" w:hAnsi="Times New Roman" w:cs="Times New Roman"/>
          <w:bCs/>
          <w:szCs w:val="22"/>
          <w:lang w:eastAsia="id-ID"/>
        </w:rPr>
        <w:t>Almazari</w:t>
      </w:r>
      <w:r w:rsidRPr="00434D44">
        <w:rPr>
          <w:rFonts w:ascii="Times New Roman" w:hAnsi="Times New Roman" w:cs="Times New Roman"/>
          <w:lang w:val="id-ID" w:eastAsia="id-ID"/>
        </w:rPr>
        <w:t xml:space="preserve"> Ahmad A. (2014) “Impact of Internal Factors on Bank Profitability: Comparative Study between Saudi Arabia and Jordan”. </w:t>
      </w:r>
      <w:r w:rsidRPr="00434D44">
        <w:rPr>
          <w:rFonts w:ascii="Times New Roman" w:hAnsi="Times New Roman" w:cs="Times New Roman"/>
          <w:lang w:eastAsia="id-ID"/>
        </w:rPr>
        <w:t xml:space="preserve"> </w:t>
      </w:r>
      <w:r w:rsidRPr="00434D44">
        <w:rPr>
          <w:rFonts w:ascii="Times New Roman" w:hAnsi="Times New Roman" w:cs="Times New Roman"/>
          <w:iCs/>
          <w:lang w:eastAsia="id-ID"/>
        </w:rPr>
        <w:t>Journal of Applied Finance &amp; Banking, vol. 4, no. 1, 2014, 125-140</w:t>
      </w:r>
    </w:p>
    <w:p w14:paraId="12DA56C4" w14:textId="77777777" w:rsidR="00063D6A" w:rsidRPr="00434D44" w:rsidRDefault="00063D6A" w:rsidP="00063D6A">
      <w:pPr>
        <w:autoSpaceDE w:val="0"/>
        <w:autoSpaceDN w:val="0"/>
        <w:adjustRightInd w:val="0"/>
        <w:ind w:left="567" w:hanging="567"/>
        <w:jc w:val="both"/>
        <w:rPr>
          <w:szCs w:val="23"/>
          <w:lang w:eastAsia="id-ID"/>
        </w:rPr>
      </w:pPr>
      <w:r w:rsidRPr="00434D44">
        <w:rPr>
          <w:szCs w:val="23"/>
          <w:lang w:eastAsia="id-ID"/>
        </w:rPr>
        <w:t>Athanasoglou, Panayiotis P; Brissimis, Sophocles; Delis, Matthaios D. (June, 2005), “Bank-Specific, Industry-Specific and Macroeconomic Determinants of Bank Profitability”, Bank of Greece Working Paper, No. 25.</w:t>
      </w:r>
    </w:p>
    <w:p w14:paraId="5D3F5ACB" w14:textId="77777777" w:rsidR="00063D6A" w:rsidRPr="00434D44" w:rsidRDefault="00063D6A" w:rsidP="00063D6A">
      <w:pPr>
        <w:autoSpaceDE w:val="0"/>
        <w:autoSpaceDN w:val="0"/>
        <w:adjustRightInd w:val="0"/>
        <w:ind w:left="540" w:hanging="540"/>
        <w:jc w:val="both"/>
      </w:pPr>
      <w:r w:rsidRPr="00434D44">
        <w:t>Apostolik, Richard., Donohue C., Went, Peter (2009), Foundation of Banking Risk : An overview of Banking, Banking Risks, and Risk-based Banking Regulation, John Wiley &amp; Sons, Inc</w:t>
      </w:r>
      <w:r w:rsidRPr="00434D44">
        <w:rPr>
          <w:lang w:eastAsia="id-ID"/>
        </w:rPr>
        <w:tab/>
      </w:r>
    </w:p>
    <w:p w14:paraId="628B036C" w14:textId="77777777" w:rsidR="00063D6A" w:rsidRPr="00434D44" w:rsidRDefault="00063D6A" w:rsidP="00063D6A">
      <w:pPr>
        <w:autoSpaceDE w:val="0"/>
        <w:autoSpaceDN w:val="0"/>
        <w:adjustRightInd w:val="0"/>
        <w:ind w:left="567" w:hanging="567"/>
        <w:jc w:val="both"/>
        <w:rPr>
          <w:rFonts w:eastAsia="Times New Roman"/>
          <w:lang w:val="id-ID" w:eastAsia="id-ID"/>
        </w:rPr>
      </w:pPr>
      <w:r w:rsidRPr="00434D44">
        <w:rPr>
          <w:rFonts w:eastAsia="Times New Roman"/>
          <w:lang w:val="id-ID" w:eastAsia="id-ID"/>
        </w:rPr>
        <w:t>Arthmar, Rogerio &amp; Brady, M. Emmett., (2011), “Keynes and the Classics: The Simplest Approach”, International Journal of Applied Economics and Econometrics, vol.19, No. 1-33.</w:t>
      </w:r>
    </w:p>
    <w:p w14:paraId="0A0F32BC" w14:textId="77777777" w:rsidR="00063D6A" w:rsidRPr="00434D44" w:rsidRDefault="00063D6A" w:rsidP="00063D6A">
      <w:pPr>
        <w:autoSpaceDE w:val="0"/>
        <w:autoSpaceDN w:val="0"/>
        <w:adjustRightInd w:val="0"/>
        <w:ind w:left="540" w:hanging="540"/>
        <w:jc w:val="both"/>
        <w:rPr>
          <w:rFonts w:cs="Arial"/>
          <w:lang w:val="id-ID"/>
        </w:rPr>
      </w:pPr>
      <w:r w:rsidRPr="00434D44">
        <w:rPr>
          <w:color w:val="000000"/>
          <w:lang w:eastAsia="id-ID"/>
        </w:rPr>
        <w:t>Alshatti, Sulieman (2015),”The Effect of Liquidity Management on Profitability in Jordanian Commercial Banks”, International Journal of Business and Management, Vol.10, No. 1</w:t>
      </w:r>
    </w:p>
    <w:p w14:paraId="041A0A60" w14:textId="77777777" w:rsidR="00063D6A" w:rsidRPr="00434D44" w:rsidRDefault="00063D6A" w:rsidP="00063D6A">
      <w:pPr>
        <w:autoSpaceDE w:val="0"/>
        <w:autoSpaceDN w:val="0"/>
        <w:adjustRightInd w:val="0"/>
        <w:ind w:left="540" w:hanging="540"/>
        <w:jc w:val="both"/>
        <w:rPr>
          <w:rFonts w:cs="Arial"/>
          <w:lang w:val="id-ID"/>
        </w:rPr>
      </w:pPr>
      <w:r w:rsidRPr="00434D44">
        <w:rPr>
          <w:lang w:eastAsia="id-ID"/>
        </w:rPr>
        <w:t xml:space="preserve">Bhattacharya, Sudipto, (1979), ” Imperfect information, dividend policy  and The bird in the hand fallacy”, </w:t>
      </w:r>
      <w:r w:rsidRPr="00434D44">
        <w:rPr>
          <w:iCs/>
          <w:lang w:eastAsia="id-ID"/>
        </w:rPr>
        <w:t xml:space="preserve">Bell Journal of Economics </w:t>
      </w:r>
      <w:r w:rsidRPr="00434D44">
        <w:rPr>
          <w:lang w:eastAsia="id-ID"/>
        </w:rPr>
        <w:t>10, 259-270.</w:t>
      </w:r>
    </w:p>
    <w:p w14:paraId="760CC190" w14:textId="77777777" w:rsidR="00063D6A" w:rsidRPr="00434D44" w:rsidRDefault="00063D6A" w:rsidP="00063D6A">
      <w:pPr>
        <w:ind w:left="567" w:hanging="567"/>
        <w:jc w:val="both"/>
        <w:rPr>
          <w:rFonts w:cs="Arial"/>
          <w:lang w:val="id-ID"/>
        </w:rPr>
      </w:pPr>
      <w:r w:rsidRPr="00434D44">
        <w:rPr>
          <w:rFonts w:eastAsia="Times New Roman"/>
          <w:lang w:eastAsia="id-ID"/>
        </w:rPr>
        <w:t xml:space="preserve">Bottazzi, L; Da Rin, M; Hellmann, T. (2008), “Who are the Active Investors? Evidence from Venture Capital”, </w:t>
      </w:r>
      <w:r w:rsidRPr="00434D44">
        <w:rPr>
          <w:rFonts w:eastAsia="Times New Roman"/>
          <w:iCs/>
          <w:lang w:eastAsia="id-ID"/>
        </w:rPr>
        <w:t>Journal of Financial Economics</w:t>
      </w:r>
      <w:r w:rsidRPr="00434D44">
        <w:rPr>
          <w:rFonts w:eastAsia="Times New Roman"/>
          <w:lang w:eastAsia="id-ID"/>
        </w:rPr>
        <w:t>, 89(3), 488-512.</w:t>
      </w:r>
      <w:r w:rsidRPr="00434D44">
        <w:rPr>
          <w:rFonts w:cs="Arial"/>
          <w:lang w:val="id-ID"/>
        </w:rPr>
        <w:t xml:space="preserve"> </w:t>
      </w:r>
    </w:p>
    <w:p w14:paraId="626AB675" w14:textId="77777777" w:rsidR="00063D6A" w:rsidRPr="00434D44" w:rsidRDefault="00063D6A" w:rsidP="00063D6A">
      <w:pPr>
        <w:autoSpaceDE w:val="0"/>
        <w:autoSpaceDN w:val="0"/>
        <w:adjustRightInd w:val="0"/>
        <w:spacing w:after="160"/>
        <w:ind w:left="567" w:hanging="567"/>
        <w:contextualSpacing/>
        <w:jc w:val="both"/>
        <w:rPr>
          <w:rFonts w:cs="Arial"/>
        </w:rPr>
      </w:pPr>
      <w:r w:rsidRPr="00434D44">
        <w:rPr>
          <w:rFonts w:cs="Arial"/>
          <w:lang w:val="id-ID"/>
        </w:rPr>
        <w:t>Buchory, Herry. Achmad. (2014), “Analysis of The Effect of Capital, Credit Risk and Profitability to Implementation Banking Intermediation Function (Study On Regional Development Bank All Over Indonesia Year 2012),” International Journal of Business, Economics and Law, Vol. 4, Issue 1 (June) ISSN 2289-1552.</w:t>
      </w:r>
      <w:r w:rsidRPr="00434D44">
        <w:rPr>
          <w:rFonts w:cs="Arial"/>
        </w:rPr>
        <w:t xml:space="preserve"> </w:t>
      </w:r>
    </w:p>
    <w:p w14:paraId="32E69E2A" w14:textId="77777777" w:rsidR="00063D6A" w:rsidRPr="00434D44" w:rsidRDefault="00063D6A" w:rsidP="00063D6A">
      <w:pPr>
        <w:autoSpaceDE w:val="0"/>
        <w:autoSpaceDN w:val="0"/>
        <w:adjustRightInd w:val="0"/>
        <w:spacing w:after="160"/>
        <w:ind w:left="567" w:hanging="567"/>
        <w:contextualSpacing/>
        <w:jc w:val="both"/>
        <w:rPr>
          <w:rFonts w:cs="Arial"/>
        </w:rPr>
      </w:pPr>
      <w:r w:rsidRPr="00434D44">
        <w:rPr>
          <w:rFonts w:cs="Arial"/>
        </w:rPr>
        <w:t>Brigham, Eugene F &amp; Houston, Joel F. (2006),</w:t>
      </w:r>
      <w:r w:rsidRPr="00434D44">
        <w:rPr>
          <w:rFonts w:cs="Arial"/>
          <w:lang w:val="id-ID"/>
        </w:rPr>
        <w:t xml:space="preserve"> </w:t>
      </w:r>
      <w:r w:rsidR="00D646A3" w:rsidRPr="00434D44">
        <w:rPr>
          <w:rFonts w:cs="Arial"/>
          <w:iCs/>
        </w:rPr>
        <w:t>Fundamentals of Financial Management, the transfer of Ali Akbar Yulianto</w:t>
      </w:r>
      <w:r w:rsidRPr="00434D44">
        <w:rPr>
          <w:rFonts w:cs="Arial"/>
        </w:rPr>
        <w:t>, Jakarta: PT. Salemba</w:t>
      </w:r>
      <w:r w:rsidRPr="00434D44">
        <w:rPr>
          <w:rFonts w:cs="Arial"/>
          <w:lang w:val="id-ID"/>
        </w:rPr>
        <w:t xml:space="preserve"> </w:t>
      </w:r>
      <w:r w:rsidRPr="00434D44">
        <w:rPr>
          <w:rFonts w:cs="Arial"/>
        </w:rPr>
        <w:t>Empat.</w:t>
      </w:r>
    </w:p>
    <w:p w14:paraId="544E8E2B" w14:textId="77777777" w:rsidR="00063D6A" w:rsidRPr="00434D44" w:rsidRDefault="00063D6A" w:rsidP="00063D6A">
      <w:pPr>
        <w:autoSpaceDE w:val="0"/>
        <w:autoSpaceDN w:val="0"/>
        <w:adjustRightInd w:val="0"/>
        <w:spacing w:after="160"/>
        <w:ind w:left="567" w:hanging="567"/>
        <w:contextualSpacing/>
        <w:jc w:val="both"/>
        <w:rPr>
          <w:rFonts w:cs="Arial"/>
        </w:rPr>
      </w:pPr>
      <w:r w:rsidRPr="00434D44">
        <w:rPr>
          <w:rFonts w:cs="Arial"/>
        </w:rPr>
        <w:t>Chakravarthy, Balaji S. (1986), “Measuring strategic performance”, Strategic Management Journal, Volume 7, Issue 5</w:t>
      </w:r>
    </w:p>
    <w:p w14:paraId="64B0EA73" w14:textId="77777777" w:rsidR="00063D6A" w:rsidRPr="00434D44" w:rsidRDefault="00063D6A" w:rsidP="00063D6A">
      <w:pPr>
        <w:autoSpaceDE w:val="0"/>
        <w:autoSpaceDN w:val="0"/>
        <w:adjustRightInd w:val="0"/>
        <w:spacing w:after="160"/>
        <w:ind w:left="567" w:hanging="567"/>
        <w:contextualSpacing/>
        <w:jc w:val="both"/>
        <w:rPr>
          <w:rFonts w:cs="Arial"/>
          <w:lang w:val="id-ID"/>
        </w:rPr>
      </w:pPr>
      <w:r w:rsidRPr="00434D44">
        <w:rPr>
          <w:rFonts w:cs="Arial"/>
          <w:lang w:val="id-ID"/>
        </w:rPr>
        <w:t xml:space="preserve">Christopher, Carroll D. </w:t>
      </w:r>
      <w:r w:rsidRPr="00434D44">
        <w:rPr>
          <w:rFonts w:cs="Arial"/>
        </w:rPr>
        <w:t xml:space="preserve">(1997). "Buffer Stock Saving and the Life Cycle/Permanent Income Hypothesis," </w:t>
      </w:r>
      <w:r w:rsidRPr="00434D44">
        <w:rPr>
          <w:rFonts w:cs="Arial"/>
          <w:iCs/>
        </w:rPr>
        <w:t>The Quarterly Journal of Economics</w:t>
      </w:r>
      <w:r w:rsidRPr="00434D44">
        <w:rPr>
          <w:rFonts w:cs="Arial"/>
        </w:rPr>
        <w:t>, Volume CXII, No. 1, February 1997, 1-57.</w:t>
      </w:r>
      <w:r w:rsidRPr="00434D44">
        <w:rPr>
          <w:rFonts w:cs="Arial"/>
          <w:lang w:val="id-ID"/>
        </w:rPr>
        <w:t xml:space="preserve"> </w:t>
      </w:r>
    </w:p>
    <w:p w14:paraId="721F2E04" w14:textId="77777777" w:rsidR="00063D6A" w:rsidRPr="00434D44" w:rsidRDefault="00063D6A" w:rsidP="00063D6A">
      <w:pPr>
        <w:autoSpaceDE w:val="0"/>
        <w:autoSpaceDN w:val="0"/>
        <w:adjustRightInd w:val="0"/>
        <w:ind w:left="540" w:hanging="540"/>
        <w:contextualSpacing/>
        <w:jc w:val="both"/>
        <w:rPr>
          <w:lang w:val="id-ID" w:eastAsia="id-ID"/>
        </w:rPr>
      </w:pPr>
      <w:r w:rsidRPr="00434D44">
        <w:rPr>
          <w:lang w:val="id-ID" w:eastAsia="id-ID"/>
        </w:rPr>
        <w:t>Chung, Kee H &amp; Pruitt Stephen W (1994), “A Simple Approximation of Tobin’s Q”, Financial Management, Vol. 23, No. 3, Autumn 1994, pages 70-74.</w:t>
      </w:r>
    </w:p>
    <w:p w14:paraId="31355367" w14:textId="77777777" w:rsidR="00063D6A" w:rsidRPr="00434D44" w:rsidRDefault="00063D6A" w:rsidP="00063D6A">
      <w:pPr>
        <w:autoSpaceDE w:val="0"/>
        <w:autoSpaceDN w:val="0"/>
        <w:adjustRightInd w:val="0"/>
        <w:spacing w:after="160"/>
        <w:ind w:left="567" w:hanging="567"/>
        <w:contextualSpacing/>
        <w:jc w:val="both"/>
        <w:rPr>
          <w:lang w:val="id-ID"/>
        </w:rPr>
      </w:pPr>
      <w:r w:rsidRPr="00434D44">
        <w:rPr>
          <w:lang w:val="id-ID"/>
        </w:rPr>
        <w:t>Coad, Alex. (2007), “Exploring The ‘Mechanics’ of Firm Growth : Evidence From A Short-Panel VAR”, CES Working Papers, Centre National De La Recherche Scientifique, Centre d’Economie de la Sorbonne.</w:t>
      </w:r>
    </w:p>
    <w:p w14:paraId="65CD6B4F" w14:textId="77777777" w:rsidR="00063D6A" w:rsidRPr="00434D44" w:rsidRDefault="00063D6A" w:rsidP="00063D6A">
      <w:pPr>
        <w:autoSpaceDE w:val="0"/>
        <w:autoSpaceDN w:val="0"/>
        <w:adjustRightInd w:val="0"/>
        <w:spacing w:after="160"/>
        <w:ind w:left="567" w:hanging="567"/>
        <w:contextualSpacing/>
        <w:jc w:val="both"/>
      </w:pPr>
      <w:r w:rsidRPr="00434D44">
        <w:rPr>
          <w:lang w:val="id-ID"/>
        </w:rPr>
        <w:t xml:space="preserve">Coban, Serap. (Fall, 2014), “The Interaction Between Firm Growth and Profitability : Evidence from Turkish (listed) Manufacturing Firms,” </w:t>
      </w:r>
      <w:r w:rsidRPr="00434D44">
        <w:rPr>
          <w:bCs/>
          <w:iCs/>
        </w:rPr>
        <w:t xml:space="preserve">The Journal of Knowledge Economy &amp; Knowledge Management / Volume: IX  </w:t>
      </w:r>
    </w:p>
    <w:p w14:paraId="149AAE30" w14:textId="77777777" w:rsidR="00063D6A" w:rsidRPr="00434D44" w:rsidRDefault="00063D6A" w:rsidP="00063D6A">
      <w:pPr>
        <w:ind w:left="567" w:hanging="567"/>
        <w:contextualSpacing/>
        <w:jc w:val="both"/>
        <w:rPr>
          <w:lang w:val="id-ID" w:eastAsia="id-ID"/>
        </w:rPr>
      </w:pPr>
      <w:r w:rsidRPr="00434D44">
        <w:t>Cheung, C. Sherman and Krinsky, Itzhak (July, 1994), “Information Asymmetry and Underpricing of Initial Public Offerings : Further Empirical Evidence,” Journal of Business Finance and Accounting, p.739-747.</w:t>
      </w:r>
      <w:r w:rsidRPr="00434D44">
        <w:rPr>
          <w:lang w:val="id-ID" w:eastAsia="id-ID"/>
        </w:rPr>
        <w:t xml:space="preserve"> </w:t>
      </w:r>
    </w:p>
    <w:p w14:paraId="0D191DEA" w14:textId="77777777" w:rsidR="00063D6A" w:rsidRPr="00434D44" w:rsidRDefault="00063D6A" w:rsidP="00063D6A">
      <w:pPr>
        <w:autoSpaceDE w:val="0"/>
        <w:autoSpaceDN w:val="0"/>
        <w:adjustRightInd w:val="0"/>
        <w:ind w:left="567" w:hanging="567"/>
        <w:contextualSpacing/>
        <w:jc w:val="both"/>
        <w:rPr>
          <w:lang w:val="id-ID" w:eastAsia="id-ID"/>
        </w:rPr>
      </w:pPr>
      <w:r w:rsidRPr="00434D44">
        <w:rPr>
          <w:lang w:val="id-ID" w:eastAsia="id-ID"/>
        </w:rPr>
        <w:t xml:space="preserve">Dao, Thanh B. &amp; Ankenbrand, Thomas (2015). “Capital Adequacy &amp; Banking Risk – An empirical study on Vietnamese Banks”. </w:t>
      </w:r>
      <w:r w:rsidRPr="00434D44">
        <w:rPr>
          <w:lang w:val="id-ID"/>
        </w:rPr>
        <w:t xml:space="preserve">Ideas, </w:t>
      </w:r>
      <w:r w:rsidRPr="00434D44">
        <w:rPr>
          <w:lang w:val="id-ID" w:eastAsia="id-ID"/>
        </w:rPr>
        <w:t xml:space="preserve">Diakses Tanggal 25 Agustus 2015, </w:t>
      </w:r>
      <w:r w:rsidRPr="00434D44">
        <w:rPr>
          <w:lang w:val="id-ID"/>
        </w:rPr>
        <w:t>Seminar on  Hanoi University and AVACO AG and University of Zurich.</w:t>
      </w:r>
      <w:r w:rsidRPr="00434D44">
        <w:rPr>
          <w:lang w:val="id-ID" w:eastAsia="id-ID"/>
        </w:rPr>
        <w:t xml:space="preserve"> </w:t>
      </w:r>
    </w:p>
    <w:p w14:paraId="179D4F82" w14:textId="77777777" w:rsidR="00063D6A" w:rsidRPr="00434D44" w:rsidRDefault="00063D6A" w:rsidP="00063D6A">
      <w:pPr>
        <w:autoSpaceDE w:val="0"/>
        <w:autoSpaceDN w:val="0"/>
        <w:adjustRightInd w:val="0"/>
        <w:spacing w:after="160"/>
        <w:ind w:left="567" w:hanging="567"/>
        <w:contextualSpacing/>
        <w:jc w:val="both"/>
        <w:rPr>
          <w:lang w:val="id-ID"/>
        </w:rPr>
      </w:pPr>
      <w:r w:rsidRPr="00434D44">
        <w:rPr>
          <w:lang w:val="id-ID"/>
        </w:rPr>
        <w:lastRenderedPageBreak/>
        <w:t>Daghestani, Adnan., Mrad, Selima., Payne, Bruce. C. (2014), “A Financial Profile Of Those Firms That Maintained Or Increased Market Value During A Period Of Economic Recession And Financial Market Turmoil,” Working Paper, Barry University.</w:t>
      </w:r>
    </w:p>
    <w:p w14:paraId="08FFFC3B" w14:textId="77777777" w:rsidR="00063D6A" w:rsidRPr="00434D44" w:rsidRDefault="00063D6A" w:rsidP="00063D6A">
      <w:pPr>
        <w:autoSpaceDE w:val="0"/>
        <w:autoSpaceDN w:val="0"/>
        <w:adjustRightInd w:val="0"/>
        <w:ind w:left="567" w:hanging="567"/>
        <w:contextualSpacing/>
        <w:jc w:val="both"/>
        <w:rPr>
          <w:lang w:val="id-ID" w:eastAsia="id-ID"/>
        </w:rPr>
      </w:pPr>
      <w:r w:rsidRPr="00434D44">
        <w:rPr>
          <w:lang w:val="id-ID" w:eastAsia="id-ID"/>
        </w:rPr>
        <w:t>Deaton, Angus. (Dec, 1991), “Saving and Liquidity Constraints,” Econometrica, Vol. 59, 1121 - 1142</w:t>
      </w:r>
    </w:p>
    <w:p w14:paraId="5F7C1A48" w14:textId="77777777" w:rsidR="00063D6A" w:rsidRPr="00434D44" w:rsidRDefault="00063D6A" w:rsidP="00063D6A">
      <w:pPr>
        <w:autoSpaceDE w:val="0"/>
        <w:autoSpaceDN w:val="0"/>
        <w:adjustRightInd w:val="0"/>
        <w:ind w:left="567" w:hanging="567"/>
        <w:contextualSpacing/>
        <w:jc w:val="both"/>
        <w:rPr>
          <w:lang w:val="id-ID" w:eastAsia="id-ID"/>
        </w:rPr>
      </w:pPr>
      <w:r w:rsidRPr="00434D44">
        <w:rPr>
          <w:lang w:val="id-ID" w:eastAsia="id-ID"/>
        </w:rPr>
        <w:t>Dendawijaya, Lukman. (2009),</w:t>
      </w:r>
      <w:r w:rsidRPr="00434D44">
        <w:rPr>
          <w:iCs/>
          <w:lang w:val="id-ID" w:eastAsia="id-ID"/>
        </w:rPr>
        <w:t xml:space="preserve"> </w:t>
      </w:r>
      <w:r w:rsidR="00D646A3" w:rsidRPr="00434D44">
        <w:rPr>
          <w:iCs/>
          <w:lang w:val="id-ID" w:eastAsia="id-ID"/>
        </w:rPr>
        <w:t>Banking Management, Second Edition</w:t>
      </w:r>
      <w:r w:rsidRPr="00434D44">
        <w:rPr>
          <w:lang w:val="id-ID" w:eastAsia="id-ID"/>
        </w:rPr>
        <w:t>, Jakarta : Ghalia Indonesia.</w:t>
      </w:r>
    </w:p>
    <w:p w14:paraId="3709147F" w14:textId="77777777" w:rsidR="00063D6A" w:rsidRPr="00434D44" w:rsidRDefault="00063D6A" w:rsidP="00063D6A">
      <w:pPr>
        <w:autoSpaceDE w:val="0"/>
        <w:autoSpaceDN w:val="0"/>
        <w:adjustRightInd w:val="0"/>
        <w:ind w:left="567" w:hanging="567"/>
        <w:contextualSpacing/>
        <w:jc w:val="both"/>
      </w:pPr>
      <w:r w:rsidRPr="00434D44">
        <w:t xml:space="preserve">Demirgüç-Kunt, A. &amp; Huizinga, H. (2000). “Financial structure and bank profitability.” The World Bank Policy Research Working Paper, No. 2430. </w:t>
      </w:r>
    </w:p>
    <w:p w14:paraId="72642BE4" w14:textId="77777777" w:rsidR="00063D6A" w:rsidRPr="00434D44" w:rsidRDefault="00063D6A" w:rsidP="00063D6A">
      <w:pPr>
        <w:autoSpaceDE w:val="0"/>
        <w:autoSpaceDN w:val="0"/>
        <w:adjustRightInd w:val="0"/>
        <w:spacing w:after="160"/>
        <w:ind w:left="567" w:hanging="567"/>
        <w:contextualSpacing/>
        <w:jc w:val="both"/>
        <w:rPr>
          <w:lang w:eastAsia="en-GB"/>
        </w:rPr>
      </w:pPr>
      <w:r w:rsidRPr="00434D44">
        <w:rPr>
          <w:lang w:eastAsia="en-GB"/>
        </w:rPr>
        <w:t>Eriksson, Kimmo. &amp; Simpson, Brent (2007),”Deception and price in a market with asymmetric information,” Judgment and Decision Making, Vol. 2, No.1, pp. 23-28</w:t>
      </w:r>
    </w:p>
    <w:p w14:paraId="07F4CF47" w14:textId="77777777" w:rsidR="00063D6A" w:rsidRPr="00434D44" w:rsidRDefault="00063D6A" w:rsidP="00063D6A">
      <w:pPr>
        <w:autoSpaceDE w:val="0"/>
        <w:autoSpaceDN w:val="0"/>
        <w:adjustRightInd w:val="0"/>
        <w:ind w:left="567" w:hanging="567"/>
        <w:contextualSpacing/>
        <w:jc w:val="both"/>
        <w:rPr>
          <w:rFonts w:eastAsia="Times New Roman"/>
          <w:lang w:val="id-ID" w:eastAsia="id-ID"/>
        </w:rPr>
      </w:pPr>
      <w:r w:rsidRPr="00434D44">
        <w:rPr>
          <w:lang w:eastAsia="en-GB"/>
        </w:rPr>
        <w:t>Ewert, R., Szczesmy, A., Schenk, G. (2000), Determinants of Bank Lending Performance in Germany. Schmalenbach Business Review, 52, pp. 344 – 362</w:t>
      </w:r>
    </w:p>
    <w:p w14:paraId="55C09D99" w14:textId="77777777" w:rsidR="00063D6A" w:rsidRPr="00434D44" w:rsidRDefault="00063D6A" w:rsidP="00063D6A">
      <w:pPr>
        <w:autoSpaceDE w:val="0"/>
        <w:autoSpaceDN w:val="0"/>
        <w:adjustRightInd w:val="0"/>
        <w:spacing w:after="160"/>
        <w:ind w:left="567" w:hanging="567"/>
        <w:contextualSpacing/>
        <w:jc w:val="both"/>
        <w:rPr>
          <w:rFonts w:eastAsia="Times New Roman"/>
          <w:lang w:val="id-ID" w:eastAsia="id-ID"/>
        </w:rPr>
      </w:pPr>
      <w:r w:rsidRPr="00434D44">
        <w:rPr>
          <w:lang w:eastAsia="en-GB"/>
        </w:rPr>
        <w:t xml:space="preserve">Fama E. (1970),”Efficient Capital Markets: a Review of Theory and Empirical Work,” </w:t>
      </w:r>
      <w:r w:rsidRPr="00434D44">
        <w:rPr>
          <w:iCs/>
          <w:lang w:eastAsia="en-GB"/>
        </w:rPr>
        <w:t>Journal of Finance</w:t>
      </w:r>
      <w:r w:rsidRPr="00434D44">
        <w:rPr>
          <w:lang w:eastAsia="en-GB"/>
        </w:rPr>
        <w:t>, Vol.25, No.2.pp. 383-417.</w:t>
      </w:r>
    </w:p>
    <w:p w14:paraId="596AE95F" w14:textId="77777777" w:rsidR="00063D6A" w:rsidRPr="00434D44" w:rsidRDefault="00063D6A" w:rsidP="00063D6A">
      <w:pPr>
        <w:autoSpaceDE w:val="0"/>
        <w:autoSpaceDN w:val="0"/>
        <w:adjustRightInd w:val="0"/>
        <w:spacing w:after="160"/>
        <w:ind w:left="567" w:hanging="567"/>
        <w:contextualSpacing/>
        <w:jc w:val="both"/>
        <w:rPr>
          <w:lang w:val="id-ID" w:eastAsia="en-GB"/>
        </w:rPr>
      </w:pPr>
      <w:r w:rsidRPr="00434D44">
        <w:rPr>
          <w:lang w:val="id-ID" w:eastAsia="en-GB"/>
        </w:rPr>
        <w:t xml:space="preserve">Fang, Hao; Cheng, Yang; Wei, Chi S. (2013) “Impact of the Subprime Crisis on Commercial Banks’ Financial Performance”. </w:t>
      </w:r>
      <w:r w:rsidRPr="00434D44">
        <w:rPr>
          <w:lang w:val="id-ID" w:eastAsia="id-ID"/>
        </w:rPr>
        <w:t>PANOECONOMICUS, 2013, 5, pp. 593-614</w:t>
      </w:r>
    </w:p>
    <w:p w14:paraId="7587C5D6" w14:textId="77777777" w:rsidR="00063D6A" w:rsidRPr="00434D44" w:rsidRDefault="00063D6A" w:rsidP="00063D6A">
      <w:pPr>
        <w:autoSpaceDE w:val="0"/>
        <w:autoSpaceDN w:val="0"/>
        <w:adjustRightInd w:val="0"/>
        <w:ind w:left="540" w:hanging="540"/>
        <w:contextualSpacing/>
        <w:jc w:val="both"/>
        <w:rPr>
          <w:rFonts w:eastAsia="Times New Roman"/>
          <w:lang w:val="id-ID" w:eastAsia="id-ID"/>
        </w:rPr>
      </w:pPr>
      <w:r w:rsidRPr="00434D44">
        <w:rPr>
          <w:iCs/>
          <w:lang w:val="id-ID" w:eastAsia="id-ID"/>
        </w:rPr>
        <w:t xml:space="preserve">Felix, A.T and Claudine, T.N (2008). “Bank Performance and Credit Risk Management”, Unpublished Masters Dissertation in Finance, University of Skovde. </w:t>
      </w:r>
    </w:p>
    <w:p w14:paraId="74BDAB42" w14:textId="77777777" w:rsidR="00063D6A" w:rsidRPr="00434D44" w:rsidRDefault="00063D6A" w:rsidP="00063D6A">
      <w:pPr>
        <w:autoSpaceDE w:val="0"/>
        <w:autoSpaceDN w:val="0"/>
        <w:adjustRightInd w:val="0"/>
        <w:ind w:left="540" w:hanging="540"/>
        <w:contextualSpacing/>
        <w:jc w:val="both"/>
        <w:rPr>
          <w:rFonts w:eastAsia="Times New Roman"/>
          <w:lang w:val="id-ID" w:eastAsia="id-ID"/>
        </w:rPr>
      </w:pPr>
      <w:r w:rsidRPr="00434D44">
        <w:rPr>
          <w:iCs/>
          <w:lang w:eastAsia="id-ID"/>
        </w:rPr>
        <w:t xml:space="preserve">Frianto, Pandia. (2012), </w:t>
      </w:r>
      <w:r w:rsidR="00D646A3" w:rsidRPr="00434D44">
        <w:rPr>
          <w:iCs/>
          <w:lang w:eastAsia="id-ID"/>
        </w:rPr>
        <w:t>Fund Management and Bank Health</w:t>
      </w:r>
      <w:r w:rsidRPr="00434D44">
        <w:rPr>
          <w:iCs/>
          <w:lang w:eastAsia="id-ID"/>
        </w:rPr>
        <w:t xml:space="preserve">, Jakarta: Rineka Cipta </w:t>
      </w:r>
    </w:p>
    <w:p w14:paraId="2B600162" w14:textId="77777777" w:rsidR="00063D6A" w:rsidRPr="00434D44" w:rsidRDefault="00063D6A" w:rsidP="00063D6A">
      <w:pPr>
        <w:autoSpaceDE w:val="0"/>
        <w:autoSpaceDN w:val="0"/>
        <w:adjustRightInd w:val="0"/>
        <w:ind w:left="709" w:hanging="709"/>
        <w:contextualSpacing/>
        <w:jc w:val="both"/>
        <w:rPr>
          <w:rFonts w:eastAsia="Calibri"/>
          <w:iCs/>
          <w:lang w:eastAsia="id-ID"/>
        </w:rPr>
      </w:pPr>
      <w:r w:rsidRPr="00434D44">
        <w:rPr>
          <w:rFonts w:eastAsia="Calibri"/>
          <w:iCs/>
          <w:lang w:eastAsia="id-ID"/>
        </w:rPr>
        <w:t>Friedman, Milton. (1957), A Theory of the Consumption Function, Princeton: Princeton University Press.</w:t>
      </w:r>
    </w:p>
    <w:p w14:paraId="1D21D090" w14:textId="77777777" w:rsidR="00063D6A" w:rsidRPr="00434D44" w:rsidRDefault="00063D6A" w:rsidP="00063D6A">
      <w:pPr>
        <w:autoSpaceDE w:val="0"/>
        <w:autoSpaceDN w:val="0"/>
        <w:adjustRightInd w:val="0"/>
        <w:ind w:left="709" w:hanging="709"/>
        <w:contextualSpacing/>
        <w:jc w:val="both"/>
      </w:pPr>
      <w:r w:rsidRPr="00434D44">
        <w:t>Guerin, Bernard &amp; Gun, Ozgur (2011),”Efficient Market Hypothesis : What are we talking about ?,” real-world economics review, issue no. 56</w:t>
      </w:r>
    </w:p>
    <w:p w14:paraId="354AF47D" w14:textId="77777777" w:rsidR="00063D6A" w:rsidRPr="00434D44" w:rsidRDefault="00063D6A" w:rsidP="00063D6A">
      <w:pPr>
        <w:autoSpaceDE w:val="0"/>
        <w:autoSpaceDN w:val="0"/>
        <w:adjustRightInd w:val="0"/>
        <w:spacing w:after="160"/>
        <w:ind w:left="567" w:hanging="567"/>
        <w:contextualSpacing/>
        <w:jc w:val="both"/>
        <w:rPr>
          <w:lang w:eastAsia="en-GB"/>
        </w:rPr>
      </w:pPr>
      <w:r w:rsidRPr="00434D44">
        <w:rPr>
          <w:lang w:eastAsia="en-GB"/>
        </w:rPr>
        <w:t>Gul, Sehrish; Irshad, Faiza; Zaman, Khalid (March, 2011) “Factors Affecting Bank Profitability in Pakistan”. ﻿The Romanian Economic Journal, ﻿Year XIV, no. 39.</w:t>
      </w:r>
    </w:p>
    <w:p w14:paraId="17922087" w14:textId="77777777" w:rsidR="00063D6A" w:rsidRPr="00434D44" w:rsidRDefault="00063D6A" w:rsidP="00063D6A">
      <w:pPr>
        <w:autoSpaceDE w:val="0"/>
        <w:autoSpaceDN w:val="0"/>
        <w:adjustRightInd w:val="0"/>
        <w:ind w:left="567" w:hanging="567"/>
        <w:contextualSpacing/>
        <w:jc w:val="both"/>
        <w:rPr>
          <w:lang w:eastAsia="id-ID"/>
        </w:rPr>
      </w:pPr>
      <w:r w:rsidRPr="00434D44">
        <w:t xml:space="preserve">Gizaw, Million; Kebede, Matewos; Selvaraj, Sujata. (2015). The impact of credit risk on profitability performance of commercial banks in Ethiopia. </w:t>
      </w:r>
      <w:r w:rsidRPr="00434D44">
        <w:rPr>
          <w:iCs/>
        </w:rPr>
        <w:t>Academic Journals, 9</w:t>
      </w:r>
      <w:r w:rsidRPr="00434D44">
        <w:t>(2), 59-66.</w:t>
      </w:r>
    </w:p>
    <w:p w14:paraId="5BF68899" w14:textId="77777777" w:rsidR="00063D6A" w:rsidRPr="00434D44" w:rsidRDefault="00063D6A" w:rsidP="00063D6A">
      <w:pPr>
        <w:autoSpaceDE w:val="0"/>
        <w:autoSpaceDN w:val="0"/>
        <w:adjustRightInd w:val="0"/>
        <w:spacing w:after="160"/>
        <w:ind w:left="567" w:hanging="567"/>
        <w:contextualSpacing/>
        <w:jc w:val="both"/>
        <w:rPr>
          <w:lang w:eastAsia="id-ID"/>
        </w:rPr>
      </w:pPr>
      <w:r w:rsidRPr="00434D44">
        <w:rPr>
          <w:lang w:eastAsia="id-ID"/>
        </w:rPr>
        <w:t xml:space="preserve">Harahap, Sofyan. (2003), </w:t>
      </w:r>
      <w:r w:rsidR="00D646A3" w:rsidRPr="00434D44">
        <w:rPr>
          <w:lang w:eastAsia="id-ID"/>
        </w:rPr>
        <w:t>Critical Analysis of Financial Statements</w:t>
      </w:r>
      <w:r w:rsidRPr="00434D44">
        <w:rPr>
          <w:lang w:eastAsia="id-ID"/>
        </w:rPr>
        <w:t>, Jakarta : Raja Grafindo Persada.</w:t>
      </w:r>
    </w:p>
    <w:p w14:paraId="1BE34035" w14:textId="77777777" w:rsidR="00063D6A" w:rsidRPr="00434D44" w:rsidRDefault="00063D6A" w:rsidP="00063D6A">
      <w:pPr>
        <w:tabs>
          <w:tab w:val="left" w:pos="1305"/>
        </w:tabs>
        <w:ind w:left="567" w:hanging="567"/>
        <w:contextualSpacing/>
        <w:jc w:val="both"/>
        <w:rPr>
          <w:rFonts w:eastAsia="Times New Roman"/>
          <w:lang w:val="en-GB" w:eastAsia="id-ID"/>
        </w:rPr>
      </w:pPr>
      <w:r w:rsidRPr="00434D44">
        <w:rPr>
          <w:rFonts w:eastAsia="Times New Roman"/>
          <w:lang w:val="id-ID" w:eastAsia="id-ID"/>
        </w:rPr>
        <w:t>Hassan, M. Kabir &amp; Abdel-Hameed M. Bashir. (2002). “Determinants of Islamic Banking Profitabilitas”, International Journal. ERF paper.</w:t>
      </w:r>
    </w:p>
    <w:p w14:paraId="7822F6EF" w14:textId="77777777" w:rsidR="00063D6A" w:rsidRPr="00434D44" w:rsidRDefault="00063D6A" w:rsidP="00063D6A">
      <w:pPr>
        <w:ind w:left="567" w:hanging="567"/>
        <w:contextualSpacing/>
        <w:jc w:val="both"/>
        <w:rPr>
          <w:lang w:eastAsia="id-ID"/>
        </w:rPr>
      </w:pPr>
      <w:r w:rsidRPr="00434D44">
        <w:rPr>
          <w:rFonts w:eastAsia="Times New Roman"/>
          <w:lang w:val="en-GB" w:eastAsia="id-ID"/>
        </w:rPr>
        <w:t>Haugen, Robert, A. &amp; Senbet</w:t>
      </w:r>
      <w:r w:rsidRPr="00434D44">
        <w:rPr>
          <w:rFonts w:eastAsia="Times New Roman"/>
          <w:lang w:val="id-ID" w:eastAsia="id-ID"/>
        </w:rPr>
        <w:t>,</w:t>
      </w:r>
      <w:r w:rsidRPr="00434D44">
        <w:rPr>
          <w:rFonts w:eastAsia="Times New Roman"/>
          <w:lang w:val="en-GB" w:eastAsia="id-ID"/>
        </w:rPr>
        <w:t xml:space="preserve"> Lemma, W.</w:t>
      </w:r>
      <w:r w:rsidRPr="00434D44">
        <w:rPr>
          <w:rFonts w:eastAsia="Times New Roman"/>
          <w:lang w:val="id-ID" w:eastAsia="id-ID"/>
        </w:rPr>
        <w:t xml:space="preserve"> </w:t>
      </w:r>
      <w:r w:rsidRPr="00434D44">
        <w:rPr>
          <w:rFonts w:eastAsia="Times New Roman"/>
          <w:lang w:val="en-GB" w:eastAsia="id-ID"/>
        </w:rPr>
        <w:t>(Nov, 1979), ”New Perspectives on Information, Asymmetric and Agency Relationship,” Journal of Financial and Quantitative Analysis, Vol. 14, No. 4</w:t>
      </w:r>
    </w:p>
    <w:p w14:paraId="70682C2D" w14:textId="77777777" w:rsidR="00063D6A" w:rsidRPr="00434D44" w:rsidRDefault="00063D6A" w:rsidP="00063D6A">
      <w:pPr>
        <w:autoSpaceDE w:val="0"/>
        <w:autoSpaceDN w:val="0"/>
        <w:adjustRightInd w:val="0"/>
        <w:ind w:left="567" w:hanging="567"/>
        <w:contextualSpacing/>
        <w:jc w:val="both"/>
        <w:rPr>
          <w:lang w:val="id-ID"/>
        </w:rPr>
      </w:pPr>
      <w:r w:rsidRPr="00434D44">
        <w:rPr>
          <w:lang w:eastAsia="id-ID"/>
        </w:rPr>
        <w:t>Hunjra, Ahmed, I., Chani, M.I., Sehrish, Javed., Naeem, Sana., Ijaz M.S., (2014), “Impact of Micro Economic Variables on Firms Performance”, International Journal of Economics and Empirical Research, 2 (2), 65-73</w:t>
      </w:r>
    </w:p>
    <w:p w14:paraId="6773B634" w14:textId="77777777" w:rsidR="00063D6A" w:rsidRPr="00434D44" w:rsidRDefault="00063D6A" w:rsidP="00063D6A">
      <w:pPr>
        <w:ind w:left="539" w:hanging="539"/>
        <w:contextualSpacing/>
        <w:jc w:val="both"/>
        <w:rPr>
          <w:color w:val="000000"/>
          <w:lang w:eastAsia="id-ID"/>
        </w:rPr>
      </w:pPr>
      <w:r w:rsidRPr="00434D44">
        <w:rPr>
          <w:lang w:val="id-ID"/>
        </w:rPr>
        <w:t xml:space="preserve">Husnan, </w:t>
      </w:r>
      <w:r w:rsidRPr="00434D44">
        <w:t xml:space="preserve">Suad. </w:t>
      </w:r>
      <w:r w:rsidRPr="00434D44">
        <w:rPr>
          <w:lang w:val="id-ID"/>
        </w:rPr>
        <w:t xml:space="preserve">(2002). </w:t>
      </w:r>
      <w:r w:rsidR="00D646A3" w:rsidRPr="00434D44">
        <w:rPr>
          <w:lang w:val="id-ID"/>
        </w:rPr>
        <w:t>Fundamentals of Financial Management, Third Edition</w:t>
      </w:r>
      <w:r w:rsidRPr="00434D44">
        <w:rPr>
          <w:lang w:val="id-ID"/>
        </w:rPr>
        <w:t xml:space="preserve">, Yogyakarta : </w:t>
      </w:r>
      <w:r w:rsidR="0097554D" w:rsidRPr="00434D44">
        <w:rPr>
          <w:lang w:val="id-ID"/>
        </w:rPr>
        <w:t>YKPN Corporate Management Academy</w:t>
      </w:r>
      <w:r w:rsidRPr="00434D44">
        <w:rPr>
          <w:lang w:val="id-ID"/>
        </w:rPr>
        <w:t>.</w:t>
      </w:r>
    </w:p>
    <w:p w14:paraId="5D21CC78" w14:textId="77777777" w:rsidR="00063D6A" w:rsidRPr="00434D44" w:rsidRDefault="00063D6A" w:rsidP="00063D6A">
      <w:pPr>
        <w:ind w:left="567" w:hanging="567"/>
        <w:contextualSpacing/>
        <w:jc w:val="both"/>
        <w:rPr>
          <w:szCs w:val="23"/>
        </w:rPr>
      </w:pPr>
      <w:r w:rsidRPr="00434D44">
        <w:rPr>
          <w:rFonts w:eastAsia="Times New Roman"/>
          <w:lang w:eastAsia="id-ID"/>
        </w:rPr>
        <w:t>Hillman, Amy. J (June, 2005), “Politicians on The Board of Directors : Do Connections Affect the Bottom Line ?”, Journal of Management, Vol. 31, No. 3.</w:t>
      </w:r>
    </w:p>
    <w:p w14:paraId="74AE00CA" w14:textId="77777777" w:rsidR="00063D6A" w:rsidRPr="00434D44" w:rsidRDefault="00063D6A" w:rsidP="00063D6A">
      <w:pPr>
        <w:autoSpaceDE w:val="0"/>
        <w:autoSpaceDN w:val="0"/>
        <w:adjustRightInd w:val="0"/>
        <w:ind w:left="540" w:hanging="540"/>
        <w:contextualSpacing/>
        <w:jc w:val="both"/>
        <w:rPr>
          <w:szCs w:val="23"/>
        </w:rPr>
      </w:pPr>
      <w:r w:rsidRPr="00434D44">
        <w:rPr>
          <w:szCs w:val="23"/>
        </w:rPr>
        <w:t>Hanafi, M.M. &amp; Halim, Abdul. (2009)</w:t>
      </w:r>
      <w:r w:rsidRPr="00434D44">
        <w:rPr>
          <w:szCs w:val="23"/>
          <w:lang w:val="id-ID"/>
        </w:rPr>
        <w:t>,</w:t>
      </w:r>
      <w:r w:rsidRPr="00434D44">
        <w:rPr>
          <w:szCs w:val="23"/>
        </w:rPr>
        <w:t xml:space="preserve"> </w:t>
      </w:r>
      <w:r w:rsidR="0097554D" w:rsidRPr="00434D44">
        <w:rPr>
          <w:szCs w:val="23"/>
        </w:rPr>
        <w:t>Financial Statement Analysis</w:t>
      </w:r>
      <w:r w:rsidRPr="00434D44">
        <w:rPr>
          <w:szCs w:val="23"/>
        </w:rPr>
        <w:t xml:space="preserve">, </w:t>
      </w:r>
      <w:r w:rsidR="0097554D" w:rsidRPr="00434D44">
        <w:rPr>
          <w:szCs w:val="23"/>
        </w:rPr>
        <w:t>Fourth Edition</w:t>
      </w:r>
      <w:r w:rsidRPr="00434D44">
        <w:rPr>
          <w:szCs w:val="23"/>
        </w:rPr>
        <w:t>, Yogyakarta : YKPN.</w:t>
      </w:r>
    </w:p>
    <w:p w14:paraId="5261467C" w14:textId="77777777" w:rsidR="00063D6A" w:rsidRPr="00434D44" w:rsidRDefault="00063D6A" w:rsidP="002B4F2D">
      <w:pPr>
        <w:autoSpaceDE w:val="0"/>
        <w:autoSpaceDN w:val="0"/>
        <w:adjustRightInd w:val="0"/>
        <w:ind w:left="567" w:hanging="567"/>
        <w:contextualSpacing/>
        <w:jc w:val="both"/>
        <w:rPr>
          <w:lang w:val="id-ID"/>
        </w:rPr>
      </w:pPr>
      <w:r w:rsidRPr="00434D44">
        <w:rPr>
          <w:lang w:eastAsia="id-ID"/>
        </w:rPr>
        <w:t xml:space="preserve">Jabbar, Haroon (2014), ”Determinants of Banks Profitability”, IOSR Journal of Business and Management (IOSR-JBM), Volume 16, Issue 1. Ver. IV, PP 109-113 </w:t>
      </w:r>
    </w:p>
    <w:p w14:paraId="78D9DBAF" w14:textId="77777777" w:rsidR="00063D6A" w:rsidRPr="00434D44" w:rsidRDefault="00063D6A" w:rsidP="00063D6A">
      <w:pPr>
        <w:pStyle w:val="Default"/>
        <w:ind w:left="630" w:hanging="630"/>
        <w:contextualSpacing/>
        <w:jc w:val="both"/>
        <w:rPr>
          <w:rFonts w:ascii="Times New Roman" w:hAnsi="Times New Roman" w:cs="Times New Roman"/>
        </w:rPr>
      </w:pPr>
      <w:r w:rsidRPr="00434D44">
        <w:rPr>
          <w:rFonts w:ascii="Times New Roman" w:hAnsi="Times New Roman" w:cs="Times New Roman"/>
          <w:color w:val="auto"/>
          <w:lang w:val="id-ID"/>
        </w:rPr>
        <w:t xml:space="preserve">Jensen, M. C. &amp; Meckling, W.H. (1976). “Theory of the Firm : Managerial Behavior, Agency Costs and Ownership Structure”. Journal of Financial Economics, Oktober,   1976,   V.   3,   No.   4,   pp.   305-360. Avalaible   from: </w:t>
      </w:r>
      <w:hyperlink r:id="rId9" w:history="1">
        <w:r w:rsidRPr="00434D44">
          <w:rPr>
            <w:rStyle w:val="Hyperlink"/>
            <w:rFonts w:ascii="Times New Roman" w:hAnsi="Times New Roman" w:cs="Times New Roman"/>
            <w:lang w:val="id-ID"/>
          </w:rPr>
          <w:t>http://papers.ssrn.com</w:t>
        </w:r>
      </w:hyperlink>
    </w:p>
    <w:p w14:paraId="58CDC434" w14:textId="77777777" w:rsidR="00063D6A" w:rsidRPr="00434D44" w:rsidRDefault="00063D6A" w:rsidP="00063D6A">
      <w:pPr>
        <w:pStyle w:val="Default"/>
        <w:ind w:left="540" w:hanging="540"/>
        <w:contextualSpacing/>
        <w:jc w:val="both"/>
        <w:rPr>
          <w:rFonts w:ascii="Times New Roman" w:hAnsi="Times New Roman" w:cs="Times New Roman"/>
          <w:lang w:eastAsia="id-ID"/>
        </w:rPr>
      </w:pPr>
      <w:r w:rsidRPr="00434D44">
        <w:rPr>
          <w:rFonts w:ascii="Times New Roman" w:hAnsi="Times New Roman" w:cs="Times New Roman"/>
          <w:color w:val="auto"/>
          <w:lang w:val="id-ID"/>
        </w:rPr>
        <w:t>Kannan, K. (Oct-Dec, 1996), “Relevance and Importance of Asset Liability Management in Banks, “ The Journal of Indian Institute of Bankers, Vol. 67, No. 4 : 150</w:t>
      </w:r>
    </w:p>
    <w:p w14:paraId="68ECF400" w14:textId="77777777" w:rsidR="00063D6A" w:rsidRPr="00434D44" w:rsidRDefault="00063D6A" w:rsidP="00063D6A">
      <w:pPr>
        <w:autoSpaceDE w:val="0"/>
        <w:autoSpaceDN w:val="0"/>
        <w:adjustRightInd w:val="0"/>
        <w:spacing w:after="160"/>
        <w:ind w:left="567" w:hanging="567"/>
        <w:contextualSpacing/>
        <w:jc w:val="both"/>
      </w:pPr>
      <w:r w:rsidRPr="00434D44">
        <w:t>Kargi, H.S. (2011). Credit risk and the performance of Nigerian banks. Ahmadu Bello University, Zaria</w:t>
      </w:r>
    </w:p>
    <w:p w14:paraId="6559A087" w14:textId="77777777" w:rsidR="00063D6A" w:rsidRPr="00434D44" w:rsidRDefault="00063D6A" w:rsidP="00063D6A">
      <w:pPr>
        <w:ind w:left="567" w:hanging="567"/>
        <w:contextualSpacing/>
        <w:jc w:val="both"/>
        <w:rPr>
          <w:lang w:eastAsia="id-ID"/>
        </w:rPr>
      </w:pPr>
      <w:r w:rsidRPr="00434D44">
        <w:lastRenderedPageBreak/>
        <w:t>Kodithuwakku, S. (2015). “Impact of Credit Risk Management on the Performance of Commercial Banks in Sri Lanka”. International Journal of Scientific Research and Innovative Technology, 2(7), 1-6.</w:t>
      </w:r>
    </w:p>
    <w:p w14:paraId="3A7056E6" w14:textId="77777777" w:rsidR="00063D6A" w:rsidRPr="00434D44" w:rsidRDefault="00063D6A" w:rsidP="00063D6A">
      <w:pPr>
        <w:autoSpaceDE w:val="0"/>
        <w:autoSpaceDN w:val="0"/>
        <w:adjustRightInd w:val="0"/>
        <w:ind w:left="630" w:hanging="630"/>
        <w:contextualSpacing/>
        <w:jc w:val="both"/>
        <w:rPr>
          <w:lang w:eastAsia="id-ID"/>
        </w:rPr>
      </w:pPr>
      <w:r w:rsidRPr="00434D44">
        <w:rPr>
          <w:lang w:eastAsia="id-ID"/>
        </w:rPr>
        <w:t xml:space="preserve">Kuncoro dan Suhardjono (2002), </w:t>
      </w:r>
      <w:r w:rsidRPr="00434D44">
        <w:rPr>
          <w:iCs/>
          <w:lang w:eastAsia="id-ID"/>
        </w:rPr>
        <w:t>Manajemen Perbankan (Teori dan Aplikasi)</w:t>
      </w:r>
      <w:r w:rsidRPr="00434D44">
        <w:rPr>
          <w:lang w:eastAsia="id-ID"/>
        </w:rPr>
        <w:t xml:space="preserve">, Edisi Pertama, Yogyakarta : Penerbit BPFE </w:t>
      </w:r>
    </w:p>
    <w:p w14:paraId="02C29910" w14:textId="77777777" w:rsidR="00063D6A" w:rsidRPr="00434D44" w:rsidRDefault="00063D6A" w:rsidP="00063D6A">
      <w:pPr>
        <w:autoSpaceDE w:val="0"/>
        <w:autoSpaceDN w:val="0"/>
        <w:adjustRightInd w:val="0"/>
        <w:ind w:left="630" w:hanging="630"/>
        <w:contextualSpacing/>
        <w:jc w:val="both"/>
        <w:rPr>
          <w:lang w:eastAsia="id-ID"/>
        </w:rPr>
      </w:pPr>
      <w:r w:rsidRPr="00434D44">
        <w:rPr>
          <w:lang w:eastAsia="id-ID"/>
        </w:rPr>
        <w:t xml:space="preserve">Kasmir. (2013). Dasar-dasar Perbankan, edisi revisi, cetakan 10. Jakarta: Raja Grafindo Persada. </w:t>
      </w:r>
    </w:p>
    <w:p w14:paraId="7E76B6AD" w14:textId="77777777" w:rsidR="00063D6A" w:rsidRPr="00434D44" w:rsidRDefault="00063D6A" w:rsidP="00063D6A">
      <w:pPr>
        <w:autoSpaceDE w:val="0"/>
        <w:autoSpaceDN w:val="0"/>
        <w:adjustRightInd w:val="0"/>
        <w:ind w:left="630" w:hanging="630"/>
        <w:contextualSpacing/>
        <w:jc w:val="both"/>
      </w:pPr>
      <w:r w:rsidRPr="00434D44">
        <w:rPr>
          <w:lang w:eastAsia="id-ID"/>
        </w:rPr>
        <w:t>Kouser, Rehana (2012), “Inter-Relationship between Profitability, Growth and Size : A Case of Non-Financial Companies from Pakistan”, Pak. J. Commer. Soc. Sci, Vol. 6(2). 405-419</w:t>
      </w:r>
    </w:p>
    <w:p w14:paraId="2B4B1013" w14:textId="77777777" w:rsidR="00063D6A" w:rsidRPr="00434D44" w:rsidRDefault="00063D6A" w:rsidP="00063D6A">
      <w:pPr>
        <w:ind w:left="567" w:hanging="567"/>
        <w:contextualSpacing/>
        <w:jc w:val="both"/>
        <w:rPr>
          <w:color w:val="000000"/>
          <w:lang w:eastAsia="id-ID"/>
        </w:rPr>
      </w:pPr>
      <w:r w:rsidRPr="00434D44">
        <w:rPr>
          <w:rFonts w:eastAsia="Times New Roman"/>
          <w:lang w:val="id-ID" w:eastAsia="id-ID"/>
        </w:rPr>
        <w:t>Kim, Keeho; Henderson, Glen V; Garrison, Sharon H (1993), “Examination of Tobin’s Q for Takeover Firm, Quaterly Journal of Bussiness and Economics, Vol. 32, Number 1.</w:t>
      </w:r>
      <w:r w:rsidRPr="00434D44">
        <w:rPr>
          <w:color w:val="000000"/>
          <w:lang w:eastAsia="id-ID"/>
        </w:rPr>
        <w:t xml:space="preserve"> </w:t>
      </w:r>
    </w:p>
    <w:p w14:paraId="79B471CE" w14:textId="77777777" w:rsidR="00063D6A" w:rsidRPr="00434D44" w:rsidRDefault="00063D6A" w:rsidP="00063D6A">
      <w:pPr>
        <w:ind w:left="567" w:hanging="567"/>
        <w:contextualSpacing/>
        <w:jc w:val="both"/>
        <w:rPr>
          <w:rFonts w:eastAsia="Calibri"/>
          <w:lang w:val="id-ID"/>
        </w:rPr>
      </w:pPr>
      <w:r w:rsidRPr="00434D44">
        <w:rPr>
          <w:rFonts w:eastAsia="Times New Roman"/>
          <w:lang w:eastAsia="id-ID"/>
        </w:rPr>
        <w:t>Kolapo, T. Funso; Ayeni, R. Kolande; Oke, M. Ojo (May, 2012), “Credit Risk and Commercial Banks’ Performance in Nigeria : A Panel Model Approach”, Australian Journal of Business and Management Research, Vol. 2, No. 02.</w:t>
      </w:r>
      <w:r w:rsidRPr="00434D44">
        <w:rPr>
          <w:color w:val="000000"/>
          <w:lang w:val="id-ID"/>
        </w:rPr>
        <w:tab/>
        <w:t xml:space="preserve"> </w:t>
      </w:r>
    </w:p>
    <w:p w14:paraId="1A7EE1ED" w14:textId="77777777" w:rsidR="00063D6A" w:rsidRPr="00434D44" w:rsidRDefault="00063D6A" w:rsidP="00063D6A">
      <w:pPr>
        <w:ind w:left="567" w:hanging="567"/>
        <w:contextualSpacing/>
        <w:jc w:val="both"/>
      </w:pPr>
      <w:r w:rsidRPr="00434D44">
        <w:rPr>
          <w:rFonts w:eastAsia="Calibri"/>
          <w:lang w:val="id-ID"/>
        </w:rPr>
        <w:t>Kosmidou, K., Tanna, S., &amp; Pasiouras, F. (2005). “</w:t>
      </w:r>
      <w:r w:rsidRPr="00434D44">
        <w:rPr>
          <w:rFonts w:eastAsia="Calibri"/>
          <w:iCs/>
          <w:lang w:val="id-ID"/>
        </w:rPr>
        <w:t xml:space="preserve">Determinants of profitability of domestic UK commercial banks: panel evidence from the period 1995-2002”. </w:t>
      </w:r>
      <w:r w:rsidRPr="00434D44">
        <w:rPr>
          <w:rFonts w:eastAsia="Calibri"/>
          <w:lang w:val="id-ID"/>
        </w:rPr>
        <w:t>Paper presented at the Money Macro and Finance (MMF) Research Group Conference.</w:t>
      </w:r>
    </w:p>
    <w:p w14:paraId="10ADFEC4" w14:textId="77777777" w:rsidR="00063D6A" w:rsidRPr="00434D44" w:rsidRDefault="00063D6A" w:rsidP="0097554D">
      <w:pPr>
        <w:autoSpaceDE w:val="0"/>
        <w:autoSpaceDN w:val="0"/>
        <w:adjustRightInd w:val="0"/>
        <w:spacing w:after="160"/>
        <w:ind w:left="567" w:hanging="567"/>
        <w:contextualSpacing/>
        <w:jc w:val="both"/>
        <w:rPr>
          <w:rFonts w:eastAsia="Calibri"/>
          <w:iCs/>
        </w:rPr>
      </w:pPr>
      <w:r w:rsidRPr="00434D44">
        <w:rPr>
          <w:lang w:eastAsia="id-ID"/>
        </w:rPr>
        <w:t>Kusumajaya, D.K. (2011), “</w:t>
      </w:r>
      <w:r w:rsidR="0097554D" w:rsidRPr="00434D44">
        <w:rPr>
          <w:lang w:eastAsia="id-ID"/>
        </w:rPr>
        <w:t>Influence of Capital Structure and Corporate Growth on Profitability and Value of Company in Manufacturing Company in Indonesia ", Thesis, Denpasar: Post Graduate Program of Udayana University.</w:t>
      </w:r>
      <w:r w:rsidRPr="00434D44">
        <w:rPr>
          <w:lang w:val="fi-FI"/>
        </w:rPr>
        <w:t xml:space="preserve">Leon, Boy. &amp; Ericson, Sonny. (2007). </w:t>
      </w:r>
      <w:r w:rsidRPr="00434D44">
        <w:rPr>
          <w:iCs/>
          <w:lang w:val="fi-FI"/>
        </w:rPr>
        <w:t>Manajemen Aktiva Pasiva Bank Non Devisa</w:t>
      </w:r>
      <w:r w:rsidRPr="00434D44">
        <w:rPr>
          <w:lang w:val="fi-FI"/>
        </w:rPr>
        <w:t>, Jakarta : PT. Grasindo</w:t>
      </w:r>
    </w:p>
    <w:p w14:paraId="7E136B7B" w14:textId="77777777" w:rsidR="00063D6A" w:rsidRPr="00434D44" w:rsidRDefault="00063D6A" w:rsidP="00063D6A">
      <w:pPr>
        <w:autoSpaceDE w:val="0"/>
        <w:autoSpaceDN w:val="0"/>
        <w:adjustRightInd w:val="0"/>
        <w:spacing w:after="160"/>
        <w:ind w:left="567" w:hanging="567"/>
        <w:contextualSpacing/>
        <w:jc w:val="both"/>
        <w:rPr>
          <w:rFonts w:eastAsia="Calibri"/>
          <w:iCs/>
        </w:rPr>
      </w:pPr>
      <w:r w:rsidRPr="00434D44">
        <w:rPr>
          <w:rFonts w:eastAsia="Calibri"/>
          <w:iCs/>
        </w:rPr>
        <w:t>Lintner, John (May, 1956),”Distribution of Incomes of Corporations among Dividends, Retained Earnings and Taxes,” American Economic Review, XLVI, 97-113</w:t>
      </w:r>
    </w:p>
    <w:p w14:paraId="4A0F5C6C" w14:textId="77777777" w:rsidR="00063D6A" w:rsidRPr="00434D44" w:rsidRDefault="00063D6A" w:rsidP="00063D6A">
      <w:pPr>
        <w:ind w:left="567" w:hanging="567"/>
        <w:contextualSpacing/>
        <w:jc w:val="both"/>
      </w:pPr>
      <w:r w:rsidRPr="00434D44">
        <w:t>Li, F. &amp; Zou,Y. (2014). The Impact of credit risk management on profitability of commercial banks: A study of Europe.Umea School of Business and Economics.</w:t>
      </w:r>
    </w:p>
    <w:p w14:paraId="4A59761F" w14:textId="77777777" w:rsidR="00063D6A" w:rsidRPr="00434D44" w:rsidRDefault="00063D6A" w:rsidP="00063D6A">
      <w:pPr>
        <w:ind w:left="567" w:hanging="567"/>
        <w:contextualSpacing/>
        <w:jc w:val="both"/>
        <w:rPr>
          <w:rFonts w:eastAsia="Calibri"/>
          <w:iCs/>
        </w:rPr>
      </w:pPr>
      <w:r w:rsidRPr="00434D44">
        <w:rPr>
          <w:iCs/>
          <w:lang w:val="en-GB"/>
        </w:rPr>
        <w:t>Leland, Hayne &amp; Pyle, David. (1977). “Information Asymmetrics, Financial Stucture and Financial Intermediation,” Journal of Finance 41, 93-105.</w:t>
      </w:r>
    </w:p>
    <w:p w14:paraId="651569C3" w14:textId="77777777" w:rsidR="00063D6A" w:rsidRPr="00434D44" w:rsidRDefault="00063D6A" w:rsidP="00063D6A">
      <w:pPr>
        <w:ind w:left="567" w:hanging="567"/>
        <w:contextualSpacing/>
        <w:jc w:val="both"/>
        <w:rPr>
          <w:color w:val="000000"/>
          <w:lang w:val="id-ID"/>
        </w:rPr>
      </w:pPr>
      <w:r w:rsidRPr="00434D44">
        <w:rPr>
          <w:rFonts w:eastAsia="Times New Roman"/>
          <w:lang w:val="id-ID" w:eastAsia="id-ID"/>
        </w:rPr>
        <w:t>Macit, Fatih. &amp; Topaloglu, Zeynep. (2012) “Why Bank Market Value To Book Value Ratios So Different : Evidence From Turkish Banking Sector”. ECONOMIC AND BUSINESS REVIEW | VOL. 14 | No. 2 | 2012 | 169 – 179</w:t>
      </w:r>
    </w:p>
    <w:p w14:paraId="01874A44" w14:textId="77777777" w:rsidR="00063D6A" w:rsidRPr="00434D44" w:rsidRDefault="00063D6A" w:rsidP="00063D6A">
      <w:pPr>
        <w:tabs>
          <w:tab w:val="left" w:pos="1290"/>
          <w:tab w:val="left" w:pos="2205"/>
        </w:tabs>
        <w:ind w:left="709" w:hanging="709"/>
        <w:contextualSpacing/>
        <w:jc w:val="both"/>
        <w:rPr>
          <w:lang w:val="id-ID"/>
        </w:rPr>
      </w:pPr>
      <w:r w:rsidRPr="00434D44">
        <w:rPr>
          <w:lang w:eastAsia="id-ID"/>
        </w:rPr>
        <w:t xml:space="preserve">Mantysaari,  Petri.   (2012),  </w:t>
      </w:r>
      <w:r w:rsidRPr="00434D44">
        <w:rPr>
          <w:iCs/>
          <w:lang w:eastAsia="id-ID"/>
        </w:rPr>
        <w:t xml:space="preserve"> Organi</w:t>
      </w:r>
      <w:r w:rsidR="00302312" w:rsidRPr="00434D44">
        <w:rPr>
          <w:iCs/>
          <w:lang w:eastAsia="id-ID"/>
        </w:rPr>
        <w:t>z</w:t>
      </w:r>
      <w:r w:rsidRPr="00434D44">
        <w:rPr>
          <w:iCs/>
          <w:lang w:eastAsia="id-ID"/>
        </w:rPr>
        <w:t>ing  the  Firm  Theories  of  Commercial  Law, Corporate Governance and Corporate Law</w:t>
      </w:r>
      <w:r w:rsidRPr="00434D44">
        <w:rPr>
          <w:lang w:eastAsia="id-ID"/>
        </w:rPr>
        <w:t>, 2012</w:t>
      </w:r>
      <w:r w:rsidRPr="00434D44">
        <w:rPr>
          <w:vertAlign w:val="superscript"/>
          <w:lang w:val="sv-SE"/>
        </w:rPr>
        <w:t>th</w:t>
      </w:r>
      <w:r w:rsidRPr="00434D44">
        <w:rPr>
          <w:lang w:val="sv-SE"/>
        </w:rPr>
        <w:t xml:space="preserve"> Edition</w:t>
      </w:r>
      <w:r w:rsidRPr="00434D44">
        <w:rPr>
          <w:lang w:eastAsia="id-ID"/>
        </w:rPr>
        <w:t>,  Berlin Heidelberg : Springer-Verlag.</w:t>
      </w:r>
      <w:r w:rsidRPr="00434D44">
        <w:rPr>
          <w:lang w:val="id-ID"/>
        </w:rPr>
        <w:t xml:space="preserve"> </w:t>
      </w:r>
    </w:p>
    <w:p w14:paraId="3E38BFCF" w14:textId="77777777" w:rsidR="00063D6A" w:rsidRPr="00434D44" w:rsidRDefault="00063D6A" w:rsidP="00063D6A">
      <w:pPr>
        <w:autoSpaceDE w:val="0"/>
        <w:autoSpaceDN w:val="0"/>
        <w:adjustRightInd w:val="0"/>
        <w:spacing w:after="160"/>
        <w:ind w:left="567" w:hanging="567"/>
        <w:contextualSpacing/>
        <w:jc w:val="both"/>
        <w:rPr>
          <w:rFonts w:eastAsia="Times New Roman"/>
          <w:lang w:val="id-ID" w:eastAsia="id-ID"/>
        </w:rPr>
      </w:pPr>
      <w:r w:rsidRPr="00434D44">
        <w:rPr>
          <w:rFonts w:eastAsia="Times New Roman"/>
          <w:lang w:val="id-ID" w:eastAsia="id-ID"/>
        </w:rPr>
        <w:t>Mawardi</w:t>
      </w:r>
      <w:r w:rsidRPr="00434D44">
        <w:rPr>
          <w:rFonts w:eastAsia="Times New Roman"/>
          <w:lang w:eastAsia="id-ID"/>
        </w:rPr>
        <w:t xml:space="preserve">, Wisnu </w:t>
      </w:r>
      <w:r w:rsidRPr="00434D44">
        <w:rPr>
          <w:rFonts w:eastAsia="Times New Roman"/>
          <w:lang w:val="id-ID" w:eastAsia="id-ID"/>
        </w:rPr>
        <w:t xml:space="preserve">(2005). </w:t>
      </w:r>
      <w:r w:rsidRPr="00434D44">
        <w:rPr>
          <w:rFonts w:eastAsia="Times New Roman"/>
          <w:lang w:eastAsia="id-ID"/>
        </w:rPr>
        <w:t>“</w:t>
      </w:r>
      <w:r w:rsidR="0097554D" w:rsidRPr="00434D44">
        <w:rPr>
          <w:rFonts w:eastAsia="Times New Roman"/>
          <w:lang w:val="id-ID" w:eastAsia="id-ID"/>
        </w:rPr>
        <w:t>Analysis of Factors Affecting the Financial Performance of Commercial Banks in Indonesia "(Case study at Commercial Bank with Total Asset less than 1 Trillion</w:t>
      </w:r>
      <w:r w:rsidRPr="00434D44">
        <w:rPr>
          <w:rFonts w:eastAsia="Times New Roman"/>
          <w:lang w:val="id-ID" w:eastAsia="id-ID"/>
        </w:rPr>
        <w:t>),Jurnal Bisnis Strategi, Vol. 14, No. 1, Juli, PP.</w:t>
      </w:r>
    </w:p>
    <w:p w14:paraId="22234F61" w14:textId="77777777" w:rsidR="00063D6A" w:rsidRPr="00434D44" w:rsidRDefault="00063D6A" w:rsidP="00063D6A">
      <w:pPr>
        <w:ind w:left="567" w:hanging="567"/>
        <w:contextualSpacing/>
        <w:jc w:val="both"/>
      </w:pPr>
      <w:r w:rsidRPr="00434D44">
        <w:rPr>
          <w:rFonts w:eastAsia="Times New Roman"/>
          <w:lang w:val="id-ID" w:eastAsia="id-ID"/>
        </w:rPr>
        <w:t>Mabruroh. (Juni, 2004). “</w:t>
      </w:r>
      <w:r w:rsidR="0097554D" w:rsidRPr="00434D44">
        <w:rPr>
          <w:rFonts w:eastAsia="Times New Roman"/>
          <w:lang w:val="id-ID" w:eastAsia="id-ID"/>
        </w:rPr>
        <w:t>Benefits And Influence Of Ratio Of Financial Ratios In Financial Performance Analysis Of Banking</w:t>
      </w:r>
      <w:r w:rsidRPr="00434D44">
        <w:rPr>
          <w:rFonts w:eastAsia="Times New Roman"/>
          <w:lang w:val="id-ID" w:eastAsia="id-ID"/>
        </w:rPr>
        <w:t xml:space="preserve">”. Benefit, Vol. 8, No. 1, Hal: 37-51. </w:t>
      </w:r>
    </w:p>
    <w:p w14:paraId="3FA8FFC0" w14:textId="77777777" w:rsidR="00063D6A" w:rsidRPr="00434D44" w:rsidRDefault="00063D6A" w:rsidP="00063D6A">
      <w:pPr>
        <w:tabs>
          <w:tab w:val="left" w:pos="1065"/>
        </w:tabs>
        <w:autoSpaceDE w:val="0"/>
        <w:autoSpaceDN w:val="0"/>
        <w:adjustRightInd w:val="0"/>
        <w:spacing w:after="160"/>
        <w:ind w:left="567" w:hanging="567"/>
        <w:contextualSpacing/>
        <w:jc w:val="both"/>
        <w:rPr>
          <w:lang w:eastAsia="id-ID"/>
        </w:rPr>
      </w:pPr>
      <w:r w:rsidRPr="00434D44">
        <w:rPr>
          <w:lang w:eastAsia="id-ID"/>
        </w:rPr>
        <w:t>Memon, Fozia. (2015), “Capital Structure and Firm Performance : A Case o Textile Sector of Pakistan”, Asian Journal of Business and Management Sciences”, Vol. 1 No. 9 (09-15)</w:t>
      </w:r>
    </w:p>
    <w:p w14:paraId="5168357A" w14:textId="77777777" w:rsidR="00063D6A" w:rsidRPr="00434D44" w:rsidRDefault="00063D6A" w:rsidP="00063D6A">
      <w:pPr>
        <w:autoSpaceDE w:val="0"/>
        <w:autoSpaceDN w:val="0"/>
        <w:adjustRightInd w:val="0"/>
        <w:spacing w:after="160"/>
        <w:ind w:left="540" w:hanging="540"/>
        <w:contextualSpacing/>
        <w:jc w:val="both"/>
        <w:rPr>
          <w:iCs/>
          <w:lang w:eastAsia="id-ID"/>
        </w:rPr>
      </w:pPr>
      <w:r w:rsidRPr="00434D44">
        <w:rPr>
          <w:iCs/>
          <w:lang w:eastAsia="id-ID"/>
        </w:rPr>
        <w:t xml:space="preserve">Modigliani, Franco, and Richard H. Brumberg, (1954), “Utility analysis and the consumption function: an interpretation of cross-section data,” in Kenneth K. Kurihara, ed., Post-Keynesian Economics, New Brunswick, NJ. Rutgers University Press. Pp 388–436.  </w:t>
      </w:r>
    </w:p>
    <w:p w14:paraId="25D86329" w14:textId="77777777" w:rsidR="00063D6A" w:rsidRPr="00434D44" w:rsidRDefault="00063D6A" w:rsidP="00063D6A">
      <w:pPr>
        <w:autoSpaceDE w:val="0"/>
        <w:autoSpaceDN w:val="0"/>
        <w:adjustRightInd w:val="0"/>
        <w:spacing w:after="160"/>
        <w:ind w:left="567" w:hanging="567"/>
        <w:contextualSpacing/>
        <w:jc w:val="both"/>
        <w:rPr>
          <w:rFonts w:eastAsia="Times New Roman"/>
          <w:lang w:val="id-ID"/>
        </w:rPr>
      </w:pPr>
      <w:r w:rsidRPr="00434D44">
        <w:rPr>
          <w:rFonts w:eastAsia="Times New Roman"/>
          <w:lang w:val="id-ID"/>
        </w:rPr>
        <w:t xml:space="preserve">Mueller, D. C., (1977), “The persistence of profit above the norm,” </w:t>
      </w:r>
      <w:r w:rsidRPr="00434D44">
        <w:rPr>
          <w:rFonts w:eastAsia="Times New Roman"/>
          <w:iCs/>
          <w:lang w:val="id-ID"/>
        </w:rPr>
        <w:t>Economica</w:t>
      </w:r>
      <w:r w:rsidRPr="00434D44">
        <w:rPr>
          <w:rFonts w:eastAsia="Times New Roman"/>
          <w:lang w:val="id-ID"/>
        </w:rPr>
        <w:t>, 44, 369-380.</w:t>
      </w:r>
    </w:p>
    <w:p w14:paraId="7960ED90" w14:textId="77777777" w:rsidR="00063D6A" w:rsidRPr="00434D44" w:rsidRDefault="00063D6A" w:rsidP="00063D6A">
      <w:pPr>
        <w:autoSpaceDE w:val="0"/>
        <w:autoSpaceDN w:val="0"/>
        <w:adjustRightInd w:val="0"/>
        <w:spacing w:after="160"/>
        <w:ind w:left="567" w:hanging="567"/>
        <w:contextualSpacing/>
        <w:jc w:val="both"/>
        <w:rPr>
          <w:color w:val="000000"/>
          <w:lang w:val="id-ID"/>
        </w:rPr>
      </w:pPr>
      <w:r w:rsidRPr="00434D44">
        <w:rPr>
          <w:color w:val="000000"/>
          <w:lang w:val="id-ID"/>
        </w:rPr>
        <w:t>Muid, Abdul. &amp; Noerirawan, Moch. Ronni.,(2012), “</w:t>
      </w:r>
      <w:r w:rsidR="0097554D" w:rsidRPr="00434D44">
        <w:rPr>
          <w:color w:val="000000"/>
          <w:lang w:val="id-ID"/>
        </w:rPr>
        <w:t>The Influence of Internal and External Factors on Company Value ", Journal of Accounting</w:t>
      </w:r>
      <w:r w:rsidRPr="00434D44">
        <w:rPr>
          <w:color w:val="000000"/>
          <w:lang w:val="id-ID"/>
        </w:rPr>
        <w:t>, Vol. 1. No. 2, Hal. 4</w:t>
      </w:r>
    </w:p>
    <w:p w14:paraId="1686AD11" w14:textId="77777777" w:rsidR="00063D6A" w:rsidRPr="00434D44" w:rsidRDefault="00063D6A" w:rsidP="00063D6A">
      <w:pPr>
        <w:ind w:left="567" w:hanging="567"/>
        <w:contextualSpacing/>
        <w:jc w:val="both"/>
        <w:rPr>
          <w:rFonts w:cs="CenturyGothic"/>
          <w:lang w:val="id-ID"/>
        </w:rPr>
      </w:pPr>
      <w:r w:rsidRPr="00434D44">
        <w:rPr>
          <w:rFonts w:eastAsia="Times New Roman"/>
          <w:lang w:val="en-GB" w:eastAsia="id-ID"/>
        </w:rPr>
        <w:t xml:space="preserve">Myers, S.C &amp; </w:t>
      </w:r>
      <w:r w:rsidRPr="00434D44">
        <w:rPr>
          <w:rFonts w:eastAsia="Times New Roman"/>
          <w:lang w:val="id-ID" w:eastAsia="id-ID"/>
        </w:rPr>
        <w:t xml:space="preserve">Majluf, </w:t>
      </w:r>
      <w:r w:rsidRPr="00434D44">
        <w:rPr>
          <w:rFonts w:eastAsia="Times New Roman"/>
          <w:lang w:val="en-GB" w:eastAsia="id-ID"/>
        </w:rPr>
        <w:t>N.S</w:t>
      </w:r>
      <w:r w:rsidRPr="00434D44">
        <w:rPr>
          <w:rFonts w:eastAsia="Times New Roman"/>
          <w:lang w:val="id-ID" w:eastAsia="id-ID"/>
        </w:rPr>
        <w:t xml:space="preserve">. </w:t>
      </w:r>
      <w:r w:rsidRPr="00434D44">
        <w:rPr>
          <w:rFonts w:eastAsia="Times New Roman"/>
          <w:lang w:val="en-GB" w:eastAsia="id-ID"/>
        </w:rPr>
        <w:t xml:space="preserve">(1984), “Corporate Financing and Investment Decisions When Firms Have Information, that Investors Do Not Have.” Journal of Financial Economics 12, 187-221. </w:t>
      </w:r>
    </w:p>
    <w:p w14:paraId="47AA337A" w14:textId="77777777" w:rsidR="00063D6A" w:rsidRPr="00434D44" w:rsidRDefault="00063D6A" w:rsidP="00063D6A">
      <w:pPr>
        <w:autoSpaceDE w:val="0"/>
        <w:autoSpaceDN w:val="0"/>
        <w:adjustRightInd w:val="0"/>
        <w:spacing w:after="160"/>
        <w:ind w:left="567" w:hanging="567"/>
        <w:contextualSpacing/>
        <w:jc w:val="both"/>
        <w:rPr>
          <w:rFonts w:cs="CenturyGothic"/>
          <w:lang w:val="id-ID"/>
        </w:rPr>
      </w:pPr>
      <w:r w:rsidRPr="00434D44">
        <w:rPr>
          <w:rFonts w:cs="CenturyGothic"/>
          <w:lang w:val="id-ID"/>
        </w:rPr>
        <w:t>Niefert, Michaela (2005), “Patenting Behaviour and Employment Growth in German Start-up Firms : A Panel Data Analysis,” ZEW – Zentrum f</w:t>
      </w:r>
      <w:r w:rsidRPr="00434D44">
        <w:rPr>
          <w:lang w:val="id-ID"/>
        </w:rPr>
        <w:t>ü</w:t>
      </w:r>
      <w:r w:rsidRPr="00434D44">
        <w:rPr>
          <w:rFonts w:cs="CenturyGothic"/>
          <w:lang w:val="id-ID"/>
        </w:rPr>
        <w:t>r Europ</w:t>
      </w:r>
      <w:r w:rsidRPr="00434D44">
        <w:rPr>
          <w:lang w:val="id-ID"/>
        </w:rPr>
        <w:t>ä</w:t>
      </w:r>
      <w:r w:rsidRPr="00434D44">
        <w:rPr>
          <w:rFonts w:cs="CenturyGothic"/>
          <w:lang w:val="id-ID"/>
        </w:rPr>
        <w:t xml:space="preserve">ische Wirtschaftsforschung / Center for European Economic Research, Discussion Papers, No. 05-03 </w:t>
      </w:r>
    </w:p>
    <w:p w14:paraId="6785A20A" w14:textId="77777777" w:rsidR="00063D6A" w:rsidRPr="00434D44" w:rsidRDefault="00063D6A" w:rsidP="00063D6A">
      <w:pPr>
        <w:autoSpaceDE w:val="0"/>
        <w:autoSpaceDN w:val="0"/>
        <w:adjustRightInd w:val="0"/>
        <w:spacing w:after="160"/>
        <w:ind w:left="567" w:hanging="567"/>
        <w:contextualSpacing/>
        <w:jc w:val="both"/>
        <w:rPr>
          <w:color w:val="000000"/>
          <w:lang w:eastAsia="id-ID"/>
        </w:rPr>
      </w:pPr>
      <w:r w:rsidRPr="00434D44">
        <w:rPr>
          <w:color w:val="000000"/>
          <w:lang w:eastAsia="id-ID"/>
        </w:rPr>
        <w:lastRenderedPageBreak/>
        <w:t>Owoputi, James A. (2014), “Bank Specific, Industry Specific and Macroeconomic Determinants of Bank Profitability in Nigeria,” Europian Scientific Journal, September 2014 edition, Vol. 10, No. 25. ISSN : 1857 - 7881</w:t>
      </w:r>
    </w:p>
    <w:p w14:paraId="0CA647DB" w14:textId="77777777" w:rsidR="00063D6A" w:rsidRPr="00434D44" w:rsidRDefault="00063D6A" w:rsidP="00063D6A">
      <w:pPr>
        <w:autoSpaceDE w:val="0"/>
        <w:autoSpaceDN w:val="0"/>
        <w:adjustRightInd w:val="0"/>
        <w:ind w:left="567" w:hanging="567"/>
        <w:contextualSpacing/>
        <w:jc w:val="both"/>
        <w:rPr>
          <w:color w:val="000000"/>
          <w:lang w:eastAsia="id-ID"/>
        </w:rPr>
      </w:pPr>
      <w:r w:rsidRPr="00434D44">
        <w:rPr>
          <w:color w:val="000000"/>
          <w:lang w:val="id-ID" w:eastAsia="id-ID"/>
        </w:rPr>
        <w:t xml:space="preserve">Olokoyo, Felicia O. (July, 2011), “Determinants of Commercial Banks’ Lending Behavior in Nigeria,” International Journal of Financial Research, Vol. 2, No. 2; </w:t>
      </w:r>
    </w:p>
    <w:p w14:paraId="621F5773" w14:textId="77777777" w:rsidR="00063D6A" w:rsidRPr="00434D44" w:rsidRDefault="00063D6A" w:rsidP="00063D6A">
      <w:pPr>
        <w:autoSpaceDE w:val="0"/>
        <w:autoSpaceDN w:val="0"/>
        <w:adjustRightInd w:val="0"/>
        <w:ind w:left="567" w:hanging="567"/>
        <w:contextualSpacing/>
        <w:jc w:val="both"/>
      </w:pPr>
      <w:r w:rsidRPr="00434D44">
        <w:rPr>
          <w:color w:val="000000"/>
          <w:lang w:eastAsia="id-ID"/>
        </w:rPr>
        <w:t>Obamunyi, Tomola M. (2013), “Determinants of Banks’ Profitability in a Developing Economy, Evidence from Nigeria,” Organizations and Markets in Emerging Economies, Vol. 4, No. 2 (8)</w:t>
      </w:r>
      <w:r w:rsidRPr="00434D44">
        <w:t xml:space="preserve"> </w:t>
      </w:r>
    </w:p>
    <w:p w14:paraId="676ACE23" w14:textId="77777777" w:rsidR="00063D6A" w:rsidRPr="00434D44" w:rsidRDefault="00063D6A" w:rsidP="00063D6A">
      <w:pPr>
        <w:tabs>
          <w:tab w:val="left" w:pos="2880"/>
        </w:tabs>
        <w:autoSpaceDE w:val="0"/>
        <w:autoSpaceDN w:val="0"/>
        <w:adjustRightInd w:val="0"/>
        <w:ind w:left="567" w:hanging="567"/>
        <w:contextualSpacing/>
        <w:jc w:val="both"/>
      </w:pPr>
      <w:r w:rsidRPr="00434D44">
        <w:rPr>
          <w:color w:val="000000"/>
          <w:lang w:eastAsia="id-ID"/>
        </w:rPr>
        <w:t>Ostadi, Hossein &amp; Riahi, Mehdi (2015), “How to determine the profitability of the bank during and before the international financial crisis (Case study : accepted banks in Tehran Stock Exchange),” Journal of Scientific Research and Development 2 (3) : 18-21.</w:t>
      </w:r>
      <w:r w:rsidRPr="00434D44">
        <w:t xml:space="preserve"> </w:t>
      </w:r>
    </w:p>
    <w:p w14:paraId="0772FC1F" w14:textId="77777777" w:rsidR="00063D6A" w:rsidRPr="00434D44" w:rsidRDefault="00063D6A" w:rsidP="00063D6A">
      <w:pPr>
        <w:autoSpaceDE w:val="0"/>
        <w:autoSpaceDN w:val="0"/>
        <w:adjustRightInd w:val="0"/>
        <w:spacing w:after="160"/>
        <w:ind w:left="567" w:hanging="567"/>
        <w:contextualSpacing/>
        <w:jc w:val="both"/>
      </w:pPr>
      <w:r w:rsidRPr="00434D44">
        <w:t xml:space="preserve">Poudel, RPS. (2012). “The impact of Credit Risk Management in Financial Performance of Commercial Banks in Nepal,” International Journal of arts and commerce, 1(5). </w:t>
      </w:r>
    </w:p>
    <w:p w14:paraId="613ED7D9" w14:textId="77777777" w:rsidR="00063D6A" w:rsidRPr="00434D44" w:rsidRDefault="00063D6A" w:rsidP="00063D6A">
      <w:pPr>
        <w:tabs>
          <w:tab w:val="left" w:pos="5877"/>
        </w:tabs>
        <w:autoSpaceDE w:val="0"/>
        <w:autoSpaceDN w:val="0"/>
        <w:adjustRightInd w:val="0"/>
        <w:ind w:left="540" w:hanging="540"/>
        <w:contextualSpacing/>
        <w:jc w:val="both"/>
        <w:rPr>
          <w:lang w:eastAsia="id-ID"/>
        </w:rPr>
      </w:pPr>
      <w:r w:rsidRPr="00434D44">
        <w:t>Rahman, Muhammad Morshedur., Md Koswar Hamid., and Md Abdul Manan Khan. (2015). “Determinants of Bank Profitability: Empirical Evidence from Bangladesh”. International Journal of Business and Management, 10 (8).</w:t>
      </w:r>
    </w:p>
    <w:p w14:paraId="42EB8E94" w14:textId="77777777" w:rsidR="00063D6A" w:rsidRPr="00434D44" w:rsidRDefault="00063D6A" w:rsidP="00063D6A">
      <w:pPr>
        <w:autoSpaceDE w:val="0"/>
        <w:autoSpaceDN w:val="0"/>
        <w:adjustRightInd w:val="0"/>
        <w:ind w:left="567" w:hanging="567"/>
        <w:contextualSpacing/>
        <w:jc w:val="both"/>
        <w:rPr>
          <w:lang w:val="id-ID"/>
        </w:rPr>
      </w:pPr>
      <w:r w:rsidRPr="00434D44">
        <w:t>Rose, Peter S., Hudgins, Sylvia C. (2010), Bank Management &amp; Financial Services, New York : McGraw-Hill International Edition.</w:t>
      </w:r>
      <w:r w:rsidRPr="00434D44">
        <w:rPr>
          <w:lang w:val="id-ID"/>
        </w:rPr>
        <w:t xml:space="preserve"> </w:t>
      </w:r>
    </w:p>
    <w:p w14:paraId="61C98913" w14:textId="77777777" w:rsidR="00063D6A" w:rsidRPr="00434D44" w:rsidRDefault="00063D6A" w:rsidP="00063D6A">
      <w:pPr>
        <w:autoSpaceDE w:val="0"/>
        <w:autoSpaceDN w:val="0"/>
        <w:adjustRightInd w:val="0"/>
        <w:ind w:left="540" w:hanging="540"/>
        <w:contextualSpacing/>
        <w:jc w:val="both"/>
        <w:rPr>
          <w:lang w:val="id-ID"/>
        </w:rPr>
      </w:pPr>
      <w:r w:rsidRPr="00434D44">
        <w:rPr>
          <w:lang w:val="en-GB" w:eastAsia="id-ID"/>
        </w:rPr>
        <w:t xml:space="preserve">Ross, Stephen A, (1977), “Determination of Financial Structure: The Incentive Signaling Approach,” Bell Journal of Economics 8. </w:t>
      </w:r>
    </w:p>
    <w:p w14:paraId="0B9C786B" w14:textId="77777777" w:rsidR="00063D6A" w:rsidRPr="00434D44" w:rsidRDefault="00063D6A" w:rsidP="00063D6A">
      <w:pPr>
        <w:autoSpaceDE w:val="0"/>
        <w:autoSpaceDN w:val="0"/>
        <w:adjustRightInd w:val="0"/>
        <w:spacing w:after="160"/>
        <w:ind w:left="426" w:hanging="426"/>
        <w:contextualSpacing/>
        <w:jc w:val="both"/>
        <w:rPr>
          <w:lang w:val="id-ID"/>
        </w:rPr>
      </w:pPr>
      <w:r w:rsidRPr="00434D44">
        <w:rPr>
          <w:lang w:val="id-ID"/>
        </w:rPr>
        <w:t>Setyorini, Winarti (Feb, 2012), “</w:t>
      </w:r>
      <w:r w:rsidR="0097554D" w:rsidRPr="00434D44">
        <w:rPr>
          <w:lang w:val="id-ID"/>
        </w:rPr>
        <w:t>Analysis of Factors Affecting Financial Performance in the Banking Industry in Indonesia Stock Exchange</w:t>
      </w:r>
      <w:r w:rsidRPr="00434D44">
        <w:rPr>
          <w:lang w:val="id-ID"/>
        </w:rPr>
        <w:t>,” Jurnal Socioscientia, Volume 4 Nomor 1.</w:t>
      </w:r>
    </w:p>
    <w:p w14:paraId="0CC46489" w14:textId="77777777" w:rsidR="00063D6A" w:rsidRPr="00434D44" w:rsidRDefault="00063D6A" w:rsidP="00063D6A">
      <w:pPr>
        <w:autoSpaceDE w:val="0"/>
        <w:autoSpaceDN w:val="0"/>
        <w:adjustRightInd w:val="0"/>
        <w:ind w:left="540" w:hanging="540"/>
        <w:contextualSpacing/>
        <w:jc w:val="both"/>
        <w:rPr>
          <w:color w:val="000000"/>
          <w:lang w:eastAsia="id-ID"/>
        </w:rPr>
      </w:pPr>
      <w:r w:rsidRPr="00434D44">
        <w:t>Sunarto, Nazrantika. (Juni, 2013), “</w:t>
      </w:r>
      <w:r w:rsidR="0097554D" w:rsidRPr="00434D44">
        <w:t>The Influence of Non Performing Loan on Return On Assets of Banking Sector In Indonesia, "Journal of Finance and Banking</w:t>
      </w:r>
      <w:r w:rsidRPr="00434D44">
        <w:t>. Volume 1, Nomor 1.</w:t>
      </w:r>
      <w:r w:rsidRPr="00434D44">
        <w:rPr>
          <w:color w:val="000000"/>
          <w:lang w:eastAsia="id-ID"/>
        </w:rPr>
        <w:t xml:space="preserve"> </w:t>
      </w:r>
    </w:p>
    <w:p w14:paraId="65519011" w14:textId="77777777" w:rsidR="00063D6A" w:rsidRPr="00434D44" w:rsidRDefault="0097554D" w:rsidP="00063D6A">
      <w:pPr>
        <w:autoSpaceDE w:val="0"/>
        <w:autoSpaceDN w:val="0"/>
        <w:adjustRightInd w:val="0"/>
        <w:spacing w:after="160"/>
        <w:ind w:left="567" w:hanging="567"/>
        <w:contextualSpacing/>
        <w:jc w:val="both"/>
        <w:rPr>
          <w:lang w:val="id-ID"/>
        </w:rPr>
      </w:pPr>
      <w:r w:rsidRPr="00434D44">
        <w:rPr>
          <w:lang w:val="id-ID"/>
        </w:rPr>
        <w:t>Siallagan, Hamonangan and</w:t>
      </w:r>
      <w:r w:rsidR="00063D6A" w:rsidRPr="00434D44">
        <w:rPr>
          <w:lang w:val="id-ID"/>
        </w:rPr>
        <w:t xml:space="preserve"> Machfoedz, Mas’ud. (2006), ”</w:t>
      </w:r>
      <w:r w:rsidRPr="00434D44">
        <w:t xml:space="preserve"> </w:t>
      </w:r>
      <w:r w:rsidRPr="00434D44">
        <w:rPr>
          <w:lang w:val="id-ID"/>
        </w:rPr>
        <w:t>Corporate Governance Mechanism, Profit Quality and Corporate Value ", National Symposium on Accounting 9 Padang</w:t>
      </w:r>
      <w:r w:rsidR="00063D6A" w:rsidRPr="00434D44">
        <w:rPr>
          <w:lang w:val="id-ID"/>
        </w:rPr>
        <w:t>, 23 – 26 Agustus.</w:t>
      </w:r>
    </w:p>
    <w:p w14:paraId="0510D424" w14:textId="77777777" w:rsidR="00063D6A" w:rsidRPr="00434D44" w:rsidRDefault="00063D6A" w:rsidP="00063D6A">
      <w:pPr>
        <w:autoSpaceDE w:val="0"/>
        <w:autoSpaceDN w:val="0"/>
        <w:adjustRightInd w:val="0"/>
        <w:spacing w:after="160"/>
        <w:ind w:left="567" w:hanging="567"/>
        <w:contextualSpacing/>
        <w:jc w:val="both"/>
        <w:rPr>
          <w:color w:val="000000"/>
          <w:lang w:val="id-ID"/>
        </w:rPr>
      </w:pPr>
      <w:r w:rsidRPr="00434D44">
        <w:rPr>
          <w:bCs/>
          <w:lang w:eastAsia="id-ID"/>
        </w:rPr>
        <w:t>Shahchera</w:t>
      </w:r>
      <w:r w:rsidRPr="00434D44">
        <w:rPr>
          <w:lang w:val="id-ID"/>
        </w:rPr>
        <w:t>, Mahshid (Fall, 2012) “The Impact of Liquidity on Iranian Bank Profitability”. Money and Economy, Vol. 7, No. 1.</w:t>
      </w:r>
      <w:r w:rsidRPr="00434D44">
        <w:rPr>
          <w:color w:val="000000"/>
          <w:lang w:val="id-ID"/>
        </w:rPr>
        <w:t xml:space="preserve"> </w:t>
      </w:r>
    </w:p>
    <w:p w14:paraId="71A71522" w14:textId="77777777" w:rsidR="00063D6A" w:rsidRPr="00434D44" w:rsidRDefault="00063D6A" w:rsidP="00063D6A">
      <w:pPr>
        <w:autoSpaceDE w:val="0"/>
        <w:autoSpaceDN w:val="0"/>
        <w:adjustRightInd w:val="0"/>
        <w:ind w:left="567" w:hanging="567"/>
        <w:contextualSpacing/>
        <w:jc w:val="both"/>
        <w:rPr>
          <w:lang w:val="id-ID" w:eastAsia="id-ID"/>
        </w:rPr>
      </w:pPr>
      <w:r w:rsidRPr="00434D44">
        <w:rPr>
          <w:lang w:eastAsia="id-ID"/>
        </w:rPr>
        <w:t xml:space="preserve">Spence, Michael, (August, 1973), "Job Market Signaling," </w:t>
      </w:r>
      <w:r w:rsidRPr="00434D44">
        <w:rPr>
          <w:iCs/>
          <w:lang w:eastAsia="id-ID"/>
        </w:rPr>
        <w:t>Quarterly Journal of Economics</w:t>
      </w:r>
      <w:r w:rsidRPr="00434D44">
        <w:rPr>
          <w:lang w:eastAsia="id-ID"/>
        </w:rPr>
        <w:t xml:space="preserve"> 87, pp. 355 – 374</w:t>
      </w:r>
    </w:p>
    <w:p w14:paraId="31E2B210" w14:textId="77777777" w:rsidR="00063D6A" w:rsidRPr="00434D44" w:rsidRDefault="00063D6A" w:rsidP="00063D6A">
      <w:pPr>
        <w:autoSpaceDE w:val="0"/>
        <w:autoSpaceDN w:val="0"/>
        <w:adjustRightInd w:val="0"/>
        <w:ind w:left="567" w:hanging="567"/>
        <w:contextualSpacing/>
        <w:jc w:val="both"/>
        <w:rPr>
          <w:rFonts w:eastAsia="Calibri" w:cs="Arial"/>
          <w:szCs w:val="20"/>
          <w:lang w:val="id-ID"/>
        </w:rPr>
      </w:pPr>
      <w:r w:rsidRPr="00434D44">
        <w:t>Staikouras, C.K. &amp; Wood, G.E.(2004). The determinants of European Bank Profitability. International Business and Economics Research Journal, 3(6).</w:t>
      </w:r>
      <w:r w:rsidRPr="00434D44">
        <w:rPr>
          <w:rFonts w:eastAsia="Calibri" w:cs="Arial"/>
          <w:szCs w:val="20"/>
          <w:lang w:val="id-ID"/>
        </w:rPr>
        <w:t xml:space="preserve"> </w:t>
      </w:r>
    </w:p>
    <w:p w14:paraId="60D5DB43" w14:textId="77777777" w:rsidR="00063D6A" w:rsidRPr="00434D44" w:rsidRDefault="00063D6A" w:rsidP="00063D6A">
      <w:pPr>
        <w:autoSpaceDE w:val="0"/>
        <w:autoSpaceDN w:val="0"/>
        <w:adjustRightInd w:val="0"/>
        <w:ind w:left="567" w:hanging="567"/>
        <w:contextualSpacing/>
        <w:jc w:val="both"/>
        <w:rPr>
          <w:lang w:eastAsia="id-ID"/>
        </w:rPr>
      </w:pPr>
      <w:r w:rsidRPr="00434D44">
        <w:t xml:space="preserve">Smaoui, H. &amp; Ben Salah, I. (2012). Profitability of Islamic Banks in the GCC Region. Global Economy and Finance Journal, 5(1), 85-102. </w:t>
      </w:r>
    </w:p>
    <w:p w14:paraId="0749962D" w14:textId="77777777" w:rsidR="00063D6A" w:rsidRPr="00434D44" w:rsidRDefault="00063D6A" w:rsidP="00063D6A">
      <w:pPr>
        <w:autoSpaceDE w:val="0"/>
        <w:autoSpaceDN w:val="0"/>
        <w:adjustRightInd w:val="0"/>
        <w:ind w:left="567" w:hanging="567"/>
        <w:contextualSpacing/>
        <w:jc w:val="both"/>
      </w:pPr>
      <w:r w:rsidRPr="00434D44">
        <w:rPr>
          <w:lang w:eastAsia="id-ID"/>
        </w:rPr>
        <w:t xml:space="preserve">Spence, Michael, (August, 1973), "Job Market Signaling," </w:t>
      </w:r>
      <w:r w:rsidRPr="00434D44">
        <w:rPr>
          <w:iCs/>
          <w:lang w:eastAsia="id-ID"/>
        </w:rPr>
        <w:t>Quarterly Journal of Economics</w:t>
      </w:r>
      <w:r w:rsidRPr="00434D44">
        <w:rPr>
          <w:lang w:eastAsia="id-ID"/>
        </w:rPr>
        <w:t xml:space="preserve"> 87, pp. 355 - 374</w:t>
      </w:r>
    </w:p>
    <w:p w14:paraId="2D12E0FD" w14:textId="77777777" w:rsidR="00063D6A" w:rsidRPr="00434D44" w:rsidRDefault="00063D6A" w:rsidP="00063D6A">
      <w:pPr>
        <w:autoSpaceDE w:val="0"/>
        <w:autoSpaceDN w:val="0"/>
        <w:adjustRightInd w:val="0"/>
        <w:ind w:left="540" w:hanging="540"/>
        <w:contextualSpacing/>
        <w:jc w:val="both"/>
        <w:rPr>
          <w:lang w:val="sv-SE" w:eastAsia="id-ID"/>
        </w:rPr>
      </w:pPr>
      <w:r w:rsidRPr="00434D44">
        <w:rPr>
          <w:lang w:val="sv-SE" w:eastAsia="id-ID"/>
        </w:rPr>
        <w:t>Saidi (Maret, 2004), ”</w:t>
      </w:r>
      <w:r w:rsidR="0097554D" w:rsidRPr="00434D44">
        <w:t xml:space="preserve"> </w:t>
      </w:r>
      <w:r w:rsidR="0097554D" w:rsidRPr="00434D44">
        <w:rPr>
          <w:lang w:val="sv-SE" w:eastAsia="id-ID"/>
        </w:rPr>
        <w:t>Factors Affecting Capital Structure of Manufacturing Companies Go Public In JSE 1997-2002</w:t>
      </w:r>
      <w:r w:rsidRPr="00434D44">
        <w:rPr>
          <w:lang w:val="sv-SE" w:eastAsia="id-ID"/>
        </w:rPr>
        <w:t xml:space="preserve">,” Jurnal Bisnis dan Ekonomi, Vol 11, No.1, hal 44-58. </w:t>
      </w:r>
    </w:p>
    <w:p w14:paraId="484E1CEE" w14:textId="77777777" w:rsidR="00063D6A" w:rsidRPr="00434D44" w:rsidRDefault="00063D6A" w:rsidP="00063D6A">
      <w:pPr>
        <w:autoSpaceDE w:val="0"/>
        <w:autoSpaceDN w:val="0"/>
        <w:adjustRightInd w:val="0"/>
        <w:ind w:left="540" w:hanging="540"/>
        <w:contextualSpacing/>
        <w:jc w:val="both"/>
        <w:rPr>
          <w:rFonts w:eastAsia="Times New Roman"/>
          <w:lang w:val="id-ID" w:eastAsia="id-ID"/>
        </w:rPr>
      </w:pPr>
      <w:r w:rsidRPr="00434D44">
        <w:rPr>
          <w:lang w:eastAsia="id-ID"/>
        </w:rPr>
        <w:t>Simamora,  Henry. (2000).</w:t>
      </w:r>
      <w:r w:rsidRPr="00434D44">
        <w:rPr>
          <w:sz w:val="23"/>
          <w:szCs w:val="23"/>
          <w:lang w:eastAsia="id-ID"/>
        </w:rPr>
        <w:t xml:space="preserve"> </w:t>
      </w:r>
      <w:r w:rsidR="0097554D" w:rsidRPr="00434D44">
        <w:rPr>
          <w:sz w:val="23"/>
          <w:szCs w:val="23"/>
          <w:lang w:eastAsia="id-ID"/>
        </w:rPr>
        <w:t>Accounting: Business Decision Making Base, First Printing, Jakarta: Salemba Four.</w:t>
      </w:r>
      <w:r w:rsidRPr="00434D44">
        <w:rPr>
          <w:iCs/>
          <w:lang w:eastAsia="id-ID"/>
        </w:rPr>
        <w:t>Stiglitz, Joseph E. &amp; Weiss, Andrew (Jun, 1981), “Credit Rationing in Markets with Imperfect Information,” The American Economic Review, Volume 71, Issue 3, 393 - 410</w:t>
      </w:r>
    </w:p>
    <w:p w14:paraId="77B8BA30" w14:textId="77777777" w:rsidR="00063D6A" w:rsidRPr="00434D44" w:rsidRDefault="00063D6A" w:rsidP="00063D6A">
      <w:pPr>
        <w:ind w:left="567" w:hanging="567"/>
        <w:contextualSpacing/>
        <w:jc w:val="both"/>
        <w:rPr>
          <w:rFonts w:eastAsia="Times New Roman"/>
          <w:lang w:val="id-ID" w:eastAsia="id-ID"/>
        </w:rPr>
      </w:pPr>
      <w:r w:rsidRPr="00434D44">
        <w:rPr>
          <w:rFonts w:eastAsia="Times New Roman"/>
          <w:lang w:eastAsia="id-ID"/>
        </w:rPr>
        <w:t>Sumastuti, (Januari, 2013), “</w:t>
      </w:r>
      <w:r w:rsidR="0097554D" w:rsidRPr="00434D44">
        <w:rPr>
          <w:rFonts w:eastAsia="Times New Roman"/>
          <w:lang w:eastAsia="id-ID"/>
        </w:rPr>
        <w:t>Analysis of Indonesian Consumption</w:t>
      </w:r>
      <w:r w:rsidRPr="00434D44">
        <w:rPr>
          <w:rFonts w:eastAsia="Times New Roman"/>
          <w:lang w:eastAsia="id-ID"/>
        </w:rPr>
        <w:t>”, Jurnal Kajian Ekonomi, Vol. I, No. 02 UNP</w:t>
      </w:r>
    </w:p>
    <w:p w14:paraId="04CBBA94" w14:textId="77777777" w:rsidR="00063D6A" w:rsidRPr="00434D44" w:rsidRDefault="00063D6A" w:rsidP="00063D6A">
      <w:pPr>
        <w:autoSpaceDE w:val="0"/>
        <w:autoSpaceDN w:val="0"/>
        <w:adjustRightInd w:val="0"/>
        <w:ind w:left="567" w:hanging="567"/>
        <w:contextualSpacing/>
        <w:jc w:val="both"/>
        <w:rPr>
          <w:rFonts w:eastAsia="Times New Roman"/>
          <w:lang w:val="id-ID"/>
        </w:rPr>
      </w:pPr>
      <w:r w:rsidRPr="00434D44">
        <w:rPr>
          <w:lang w:val="id-ID" w:eastAsia="id-ID"/>
        </w:rPr>
        <w:t>Soo, Cheong &amp; Jang, Kwangmin P. (Dec, 2011), ”Inter-relationship between firm growth and profitability,” International Journal of Hospitality Management, Vol. 30, Issue. 4.</w:t>
      </w:r>
      <w:r w:rsidRPr="00434D44">
        <w:rPr>
          <w:rFonts w:eastAsia="Times New Roman"/>
          <w:lang w:val="id-ID"/>
        </w:rPr>
        <w:t xml:space="preserve"> </w:t>
      </w:r>
    </w:p>
    <w:p w14:paraId="16C16C0D" w14:textId="77777777" w:rsidR="00063D6A" w:rsidRPr="00434D44" w:rsidRDefault="00063D6A" w:rsidP="00063D6A">
      <w:pPr>
        <w:autoSpaceDE w:val="0"/>
        <w:autoSpaceDN w:val="0"/>
        <w:adjustRightInd w:val="0"/>
        <w:ind w:left="567" w:hanging="567"/>
        <w:contextualSpacing/>
        <w:jc w:val="both"/>
        <w:rPr>
          <w:lang w:eastAsia="id-ID"/>
        </w:rPr>
      </w:pPr>
      <w:r w:rsidRPr="00434D44">
        <w:rPr>
          <w:lang w:eastAsia="id-ID"/>
        </w:rPr>
        <w:t xml:space="preserve">Syofyan, Sofriza. (2003), </w:t>
      </w:r>
      <w:r w:rsidRPr="00434D44">
        <w:rPr>
          <w:bCs/>
          <w:lang w:eastAsia="id-ID"/>
        </w:rPr>
        <w:t>”</w:t>
      </w:r>
      <w:r w:rsidR="00280E12" w:rsidRPr="00434D44">
        <w:t xml:space="preserve"> </w:t>
      </w:r>
      <w:r w:rsidR="00280E12" w:rsidRPr="00434D44">
        <w:rPr>
          <w:bCs/>
          <w:lang w:eastAsia="id-ID"/>
        </w:rPr>
        <w:t>Decision</w:t>
      </w:r>
      <w:r w:rsidRPr="00434D44">
        <w:rPr>
          <w:bCs/>
          <w:lang w:eastAsia="id-ID"/>
        </w:rPr>
        <w:t xml:space="preserve"> ”Go Public” </w:t>
      </w:r>
      <w:r w:rsidR="00280E12" w:rsidRPr="00434D44">
        <w:rPr>
          <w:bCs/>
          <w:lang w:eastAsia="id-ID"/>
        </w:rPr>
        <w:t>and its Relation to the Performance of Private Banks in Indonesia</w:t>
      </w:r>
      <w:r w:rsidRPr="00434D44">
        <w:rPr>
          <w:lang w:eastAsia="id-ID"/>
        </w:rPr>
        <w:t>”, Jurnal Media Riset &amp; Manajemen. Vol. 3, No. 1, April 2003</w:t>
      </w:r>
      <w:r w:rsidRPr="00434D44">
        <w:rPr>
          <w:lang w:val="id-ID" w:eastAsia="id-ID"/>
        </w:rPr>
        <w:t xml:space="preserve"> </w:t>
      </w:r>
    </w:p>
    <w:p w14:paraId="155AEF9D" w14:textId="77777777" w:rsidR="00063D6A" w:rsidRPr="00434D44" w:rsidRDefault="00063D6A" w:rsidP="00063D6A">
      <w:pPr>
        <w:autoSpaceDE w:val="0"/>
        <w:autoSpaceDN w:val="0"/>
        <w:adjustRightInd w:val="0"/>
        <w:ind w:left="567" w:hanging="567"/>
        <w:contextualSpacing/>
        <w:jc w:val="both"/>
        <w:rPr>
          <w:rFonts w:eastAsia="Times New Roman"/>
          <w:lang w:val="id-ID"/>
        </w:rPr>
      </w:pPr>
      <w:r w:rsidRPr="00434D44">
        <w:rPr>
          <w:lang w:eastAsia="id-ID"/>
        </w:rPr>
        <w:t xml:space="preserve">Sraffa, P. (1951), “Introduction”, in </w:t>
      </w:r>
      <w:r w:rsidRPr="00434D44">
        <w:rPr>
          <w:iCs/>
          <w:lang w:eastAsia="id-ID"/>
        </w:rPr>
        <w:t>The Works and Correspondence of David Ricardo</w:t>
      </w:r>
      <w:r w:rsidRPr="00434D44">
        <w:rPr>
          <w:lang w:eastAsia="id-ID"/>
        </w:rPr>
        <w:t>, edited by P. Sraffa in collaboration with M. H. Dobb, vol. I, Cambridge: Cambridge University Press.</w:t>
      </w:r>
    </w:p>
    <w:p w14:paraId="5CA7190C" w14:textId="77777777" w:rsidR="00063D6A" w:rsidRPr="00434D44" w:rsidRDefault="00063D6A" w:rsidP="00063D6A">
      <w:pPr>
        <w:autoSpaceDE w:val="0"/>
        <w:autoSpaceDN w:val="0"/>
        <w:adjustRightInd w:val="0"/>
        <w:spacing w:after="160"/>
        <w:ind w:left="567" w:hanging="567"/>
        <w:contextualSpacing/>
        <w:jc w:val="both"/>
        <w:rPr>
          <w:lang w:eastAsia="id-ID"/>
        </w:rPr>
      </w:pPr>
      <w:r w:rsidRPr="00434D44">
        <w:t>Saunders, Antony, Garnett M. Millon., (2008), Financial Institutions Management : A Risk Management Approach, Sixth Edition, New York : Mc Graw-Hill International Edition.</w:t>
      </w:r>
    </w:p>
    <w:p w14:paraId="1178D859" w14:textId="77777777" w:rsidR="00063D6A" w:rsidRPr="00434D44" w:rsidRDefault="00063D6A" w:rsidP="00063D6A">
      <w:pPr>
        <w:autoSpaceDE w:val="0"/>
        <w:autoSpaceDN w:val="0"/>
        <w:adjustRightInd w:val="0"/>
        <w:spacing w:after="160"/>
        <w:ind w:left="567" w:hanging="567"/>
        <w:contextualSpacing/>
        <w:jc w:val="both"/>
        <w:rPr>
          <w:color w:val="000000"/>
          <w:lang w:eastAsia="id-ID"/>
        </w:rPr>
      </w:pPr>
      <w:r w:rsidRPr="00434D44">
        <w:rPr>
          <w:color w:val="000000"/>
          <w:lang w:val="id-ID" w:eastAsia="id-ID"/>
        </w:rPr>
        <w:lastRenderedPageBreak/>
        <w:t>Veithzal, Rivai (2007),</w:t>
      </w:r>
      <w:r w:rsidRPr="00434D44">
        <w:rPr>
          <w:bCs/>
          <w:color w:val="000000"/>
          <w:szCs w:val="23"/>
          <w:lang w:val="id-ID" w:eastAsia="id-ID"/>
        </w:rPr>
        <w:t xml:space="preserve"> Bank and Financial Institution Management, Conventional and Sharia System,</w:t>
      </w:r>
      <w:r w:rsidRPr="00434D44">
        <w:rPr>
          <w:color w:val="000000"/>
          <w:lang w:val="id-ID" w:eastAsia="id-ID"/>
        </w:rPr>
        <w:t xml:space="preserve"> Jakarta : PT. Raja Grafindo Persada.</w:t>
      </w:r>
      <w:r w:rsidRPr="00434D44">
        <w:rPr>
          <w:color w:val="000000"/>
          <w:lang w:eastAsia="id-ID"/>
        </w:rPr>
        <w:t xml:space="preserve"> </w:t>
      </w:r>
    </w:p>
    <w:p w14:paraId="641092E4" w14:textId="77777777" w:rsidR="00063D6A" w:rsidRPr="00434D44" w:rsidRDefault="00063D6A" w:rsidP="00063D6A">
      <w:pPr>
        <w:ind w:left="567" w:hanging="567"/>
        <w:contextualSpacing/>
        <w:jc w:val="both"/>
      </w:pPr>
      <w:r w:rsidRPr="00434D44">
        <w:rPr>
          <w:rFonts w:eastAsia="Times New Roman"/>
          <w:lang w:val="id-ID" w:eastAsia="id-ID"/>
        </w:rPr>
        <w:t>Wijaya, Tony. (2007). “</w:t>
      </w:r>
      <w:r w:rsidR="00280E12" w:rsidRPr="00434D44">
        <w:rPr>
          <w:rFonts w:eastAsia="Times New Roman"/>
          <w:lang w:val="id-ID" w:eastAsia="id-ID"/>
        </w:rPr>
        <w:t>Contribution of Financial Ratios To Changes Of Banking Profits At Surabaya Stock Exchange</w:t>
      </w:r>
      <w:r w:rsidRPr="00434D44">
        <w:rPr>
          <w:rFonts w:eastAsia="Times New Roman"/>
          <w:lang w:val="id-ID" w:eastAsia="id-ID"/>
        </w:rPr>
        <w:t>”. Modus, Vol. 19, No. 2, Hal: 20-34</w:t>
      </w:r>
    </w:p>
    <w:p w14:paraId="6AE01662" w14:textId="77777777" w:rsidR="00063D6A" w:rsidRPr="00434D44" w:rsidRDefault="00063D6A" w:rsidP="00063D6A">
      <w:pPr>
        <w:ind w:left="567" w:hanging="567"/>
        <w:contextualSpacing/>
        <w:jc w:val="both"/>
        <w:rPr>
          <w:lang w:eastAsia="id-ID"/>
        </w:rPr>
      </w:pPr>
      <w:r w:rsidRPr="00434D44">
        <w:rPr>
          <w:rFonts w:eastAsia="Times New Roman"/>
          <w:lang w:eastAsia="id-ID"/>
        </w:rPr>
        <w:t>Wolk, et al (2001),”</w:t>
      </w:r>
      <w:r w:rsidRPr="00434D44">
        <w:rPr>
          <w:rFonts w:eastAsia="Times New Roman"/>
          <w:iCs/>
          <w:lang w:eastAsia="id-ID"/>
        </w:rPr>
        <w:t>Signaling, Agency Theory, Accounting Policy Choice”</w:t>
      </w:r>
      <w:r w:rsidRPr="00434D44">
        <w:rPr>
          <w:rFonts w:eastAsia="Times New Roman"/>
          <w:lang w:eastAsia="id-ID"/>
        </w:rPr>
        <w:t>. Accounting and Business Research. Vol. 18. No 69:47-56</w:t>
      </w:r>
    </w:p>
    <w:p w14:paraId="31C79A79" w14:textId="77777777" w:rsidR="00063D6A" w:rsidRPr="00434D44" w:rsidRDefault="00063D6A" w:rsidP="00063D6A">
      <w:pPr>
        <w:autoSpaceDE w:val="0"/>
        <w:autoSpaceDN w:val="0"/>
        <w:adjustRightInd w:val="0"/>
        <w:spacing w:after="160"/>
        <w:ind w:left="567" w:hanging="567"/>
        <w:contextualSpacing/>
        <w:jc w:val="both"/>
        <w:rPr>
          <w:lang w:val="id-ID" w:eastAsia="en-GB"/>
        </w:rPr>
      </w:pPr>
      <w:r w:rsidRPr="00434D44">
        <w:rPr>
          <w:lang w:val="id-ID" w:eastAsia="en-GB"/>
        </w:rPr>
        <w:t>Wolfe, J &amp; Sauaia, A.C. (2003), “The Tobin’s Q as a Company Performance Indicator,” Developments in Business Simulation and Experiential Learning, Volume 30.</w:t>
      </w:r>
    </w:p>
    <w:p w14:paraId="517DEAF3" w14:textId="77777777" w:rsidR="00063D6A" w:rsidRPr="00434D44" w:rsidRDefault="00063D6A" w:rsidP="00063D6A">
      <w:pPr>
        <w:autoSpaceDE w:val="0"/>
        <w:autoSpaceDN w:val="0"/>
        <w:adjustRightInd w:val="0"/>
        <w:spacing w:after="160"/>
        <w:ind w:left="567" w:hanging="567"/>
        <w:contextualSpacing/>
        <w:jc w:val="both"/>
        <w:rPr>
          <w:lang w:val="id-ID" w:eastAsia="id-ID"/>
        </w:rPr>
      </w:pPr>
      <w:r w:rsidRPr="00434D44">
        <w:rPr>
          <w:rFonts w:eastAsia="Calibri" w:cs="Arial"/>
          <w:szCs w:val="20"/>
        </w:rPr>
        <w:t>Williamson, O. (1979),“Transaction-Cost Economics: the Governance of Contractual Relations”,  22 Journal of Law and Economics, 233-261.</w:t>
      </w:r>
    </w:p>
    <w:p w14:paraId="66AB41B2" w14:textId="77777777" w:rsidR="00063D6A" w:rsidRPr="00434D44" w:rsidRDefault="00063D6A" w:rsidP="00063D6A">
      <w:pPr>
        <w:ind w:left="567" w:hanging="567"/>
        <w:contextualSpacing/>
        <w:jc w:val="both"/>
        <w:rPr>
          <w:rFonts w:eastAsia="Times New Roman"/>
          <w:lang w:val="id-ID" w:eastAsia="id-ID"/>
        </w:rPr>
      </w:pPr>
      <w:r w:rsidRPr="00434D44">
        <w:t>Yuliani. (2007). “</w:t>
      </w:r>
      <w:r w:rsidR="00280E12" w:rsidRPr="00434D44">
        <w:t>Operational Efficiency Relationship with Profitability Performance in the Banking Sector Go Public in the Jakarta Stock Exchange</w:t>
      </w:r>
      <w:r w:rsidRPr="00434D44">
        <w:t>”. Jurnal Manajemen &amp; Bisnis Sriwijaya, 5 (10).</w:t>
      </w:r>
    </w:p>
    <w:p w14:paraId="53042633" w14:textId="77777777" w:rsidR="00063D6A" w:rsidRPr="00434D44" w:rsidRDefault="00063D6A" w:rsidP="00063D6A">
      <w:pPr>
        <w:autoSpaceDE w:val="0"/>
        <w:autoSpaceDN w:val="0"/>
        <w:adjustRightInd w:val="0"/>
        <w:spacing w:after="160"/>
        <w:ind w:left="567" w:hanging="567"/>
        <w:contextualSpacing/>
        <w:jc w:val="both"/>
        <w:rPr>
          <w:rFonts w:cs="Arial"/>
        </w:rPr>
      </w:pPr>
    </w:p>
    <w:p w14:paraId="613A58E1" w14:textId="77777777" w:rsidR="00063D6A" w:rsidRPr="00434D44" w:rsidRDefault="00063D6A" w:rsidP="00063D6A">
      <w:pPr>
        <w:autoSpaceDE w:val="0"/>
        <w:autoSpaceDN w:val="0"/>
        <w:adjustRightInd w:val="0"/>
        <w:spacing w:after="160"/>
        <w:ind w:left="567" w:hanging="567"/>
        <w:contextualSpacing/>
        <w:jc w:val="both"/>
        <w:rPr>
          <w:rFonts w:cs="Arial"/>
        </w:rPr>
      </w:pPr>
    </w:p>
    <w:p w14:paraId="16708E3A" w14:textId="77777777" w:rsidR="00063D6A" w:rsidRPr="00434D44" w:rsidRDefault="00063D6A" w:rsidP="00063D6A">
      <w:pPr>
        <w:pStyle w:val="ListParagraph"/>
        <w:ind w:left="0"/>
        <w:jc w:val="both"/>
      </w:pPr>
    </w:p>
    <w:p w14:paraId="770CFC6B" w14:textId="77777777" w:rsidR="00063D6A" w:rsidRPr="00434D44" w:rsidRDefault="00063D6A" w:rsidP="00063D6A">
      <w:pPr>
        <w:pStyle w:val="ListParagraph"/>
        <w:ind w:left="0"/>
        <w:jc w:val="both"/>
      </w:pPr>
    </w:p>
    <w:p w14:paraId="483C7B4C" w14:textId="77777777" w:rsidR="00641EBA" w:rsidRPr="00434D44" w:rsidRDefault="00641EBA" w:rsidP="00063D6A">
      <w:pPr>
        <w:pStyle w:val="ListParagraph"/>
        <w:ind w:left="0"/>
        <w:jc w:val="both"/>
      </w:pPr>
    </w:p>
    <w:p w14:paraId="5352F823" w14:textId="77777777" w:rsidR="006D454D" w:rsidRPr="00434D44" w:rsidRDefault="006D454D" w:rsidP="00063D6A">
      <w:pPr>
        <w:pStyle w:val="ListParagraph"/>
        <w:ind w:left="270"/>
        <w:jc w:val="both"/>
        <w:rPr>
          <w:lang w:val="id-ID"/>
        </w:rPr>
      </w:pPr>
    </w:p>
    <w:p w14:paraId="31063547" w14:textId="77777777" w:rsidR="006D454D" w:rsidRPr="00434D44" w:rsidRDefault="006D454D" w:rsidP="00063D6A">
      <w:pPr>
        <w:pStyle w:val="ListParagraph"/>
        <w:ind w:left="270"/>
        <w:jc w:val="both"/>
        <w:rPr>
          <w:lang w:val="id-ID"/>
        </w:rPr>
      </w:pPr>
    </w:p>
    <w:p w14:paraId="5636A11C" w14:textId="77777777" w:rsidR="006D454D" w:rsidRPr="00434D44" w:rsidRDefault="006D454D" w:rsidP="00063D6A">
      <w:pPr>
        <w:pStyle w:val="ListParagraph"/>
        <w:ind w:left="270"/>
        <w:jc w:val="both"/>
        <w:rPr>
          <w:lang w:val="id-ID"/>
        </w:rPr>
      </w:pPr>
    </w:p>
    <w:p w14:paraId="08CF917B" w14:textId="77777777" w:rsidR="00B45CB8" w:rsidRPr="00434D44" w:rsidRDefault="00B45CB8" w:rsidP="00063D6A">
      <w:pPr>
        <w:ind w:left="-90"/>
        <w:contextualSpacing/>
        <w:jc w:val="both"/>
        <w:rPr>
          <w:lang w:val="id-ID"/>
        </w:rPr>
      </w:pPr>
    </w:p>
    <w:sectPr w:rsidR="00B45CB8" w:rsidRPr="00434D44" w:rsidSect="005045F1">
      <w:type w:val="continuous"/>
      <w:pgSz w:w="11906" w:h="16838"/>
      <w:pgMar w:top="1440" w:right="1016" w:bottom="1440" w:left="117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6B70D" w14:textId="77777777" w:rsidR="00E805AA" w:rsidRDefault="00E805AA" w:rsidP="006C5A25">
      <w:r>
        <w:separator/>
      </w:r>
    </w:p>
  </w:endnote>
  <w:endnote w:type="continuationSeparator" w:id="0">
    <w:p w14:paraId="0FC24D1B" w14:textId="77777777" w:rsidR="00E805AA" w:rsidRDefault="00E805AA" w:rsidP="006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altName w:val="Avenir Next"/>
    <w:charset w:val="00"/>
    <w:family w:val="swiss"/>
    <w:pitch w:val="variable"/>
    <w:sig w:usb0="00000003" w:usb1="00000000" w:usb2="00000000" w:usb3="00000000" w:csb0="00000001" w:csb1="00000000"/>
  </w:font>
  <w:font w:name="Times New Roman Italic">
    <w:altName w:val="Times New Roman"/>
    <w:charset w:val="00"/>
    <w:family w:val="roman"/>
    <w:pitch w:val="variable"/>
    <w:sig w:usb0="E0000AFF" w:usb1="00007843" w:usb2="00000001" w:usb3="00000000" w:csb0="000001BF" w:csb1="00000000"/>
  </w:font>
  <w:font w:name="Times-Bold">
    <w:charset w:val="00"/>
    <w:family w:val="roman"/>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CenturyGothic">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4CA0C" w14:textId="77777777" w:rsidR="00E805AA" w:rsidRDefault="00E805AA" w:rsidP="006C5A25">
      <w:r>
        <w:separator/>
      </w:r>
    </w:p>
  </w:footnote>
  <w:footnote w:type="continuationSeparator" w:id="0">
    <w:p w14:paraId="35A47A4E" w14:textId="77777777" w:rsidR="00E805AA" w:rsidRDefault="00E805AA" w:rsidP="006C5A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A43"/>
    <w:multiLevelType w:val="hybridMultilevel"/>
    <w:tmpl w:val="79C2A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954FE"/>
    <w:multiLevelType w:val="hybridMultilevel"/>
    <w:tmpl w:val="0B6EF46A"/>
    <w:lvl w:ilvl="0" w:tplc="A740CF94">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F6920"/>
    <w:multiLevelType w:val="hybridMultilevel"/>
    <w:tmpl w:val="6DE0B3A0"/>
    <w:lvl w:ilvl="0" w:tplc="CC161A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217915"/>
    <w:multiLevelType w:val="hybridMultilevel"/>
    <w:tmpl w:val="025E381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C2745E"/>
    <w:multiLevelType w:val="multilevel"/>
    <w:tmpl w:val="2760E5D0"/>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276044"/>
    <w:multiLevelType w:val="hybridMultilevel"/>
    <w:tmpl w:val="2F0EAAFE"/>
    <w:lvl w:ilvl="0" w:tplc="492EDBC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1E1A13ED"/>
    <w:multiLevelType w:val="hybridMultilevel"/>
    <w:tmpl w:val="F0F46766"/>
    <w:lvl w:ilvl="0" w:tplc="78C6CE60">
      <w:numFmt w:val="bullet"/>
      <w:lvlText w:val=""/>
      <w:lvlJc w:val="left"/>
      <w:pPr>
        <w:ind w:left="900" w:hanging="360"/>
      </w:pPr>
      <w:rPr>
        <w:rFonts w:ascii="Symbol" w:eastAsia="Arial Unicode MS" w:hAnsi="Symbol" w:cs="Times New Roman" w:hint="default"/>
        <w:b/>
        <w:color w:val="000000"/>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7">
    <w:nsid w:val="1E875B3B"/>
    <w:multiLevelType w:val="hybridMultilevel"/>
    <w:tmpl w:val="3FBEBFE8"/>
    <w:lvl w:ilvl="0" w:tplc="819255A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ECC3140"/>
    <w:multiLevelType w:val="hybridMultilevel"/>
    <w:tmpl w:val="13A0283E"/>
    <w:lvl w:ilvl="0" w:tplc="F6F6F246">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23633C8"/>
    <w:multiLevelType w:val="hybridMultilevel"/>
    <w:tmpl w:val="CBB8F0A6"/>
    <w:lvl w:ilvl="0" w:tplc="9F7CF118">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216CB"/>
    <w:multiLevelType w:val="hybridMultilevel"/>
    <w:tmpl w:val="38CAF480"/>
    <w:lvl w:ilvl="0" w:tplc="A3A8FACE">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300C3"/>
    <w:multiLevelType w:val="hybridMultilevel"/>
    <w:tmpl w:val="27681284"/>
    <w:lvl w:ilvl="0" w:tplc="73EEDB28">
      <w:start w:val="3"/>
      <w:numFmt w:val="upperLetter"/>
      <w:lvlText w:val="%1."/>
      <w:lvlJc w:val="left"/>
      <w:pPr>
        <w:ind w:left="630" w:hanging="360"/>
      </w:pPr>
      <w:rPr>
        <w:rFonts w:hint="default"/>
        <w:b/>
        <w:sz w:val="23"/>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CA45D41"/>
    <w:multiLevelType w:val="hybridMultilevel"/>
    <w:tmpl w:val="0DEA316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2D2B191D"/>
    <w:multiLevelType w:val="hybridMultilevel"/>
    <w:tmpl w:val="CDC6B3E0"/>
    <w:lvl w:ilvl="0" w:tplc="B25C0F86">
      <w:start w:val="5"/>
      <w:numFmt w:val="bullet"/>
      <w:lvlText w:val=""/>
      <w:lvlJc w:val="left"/>
      <w:pPr>
        <w:ind w:left="720" w:hanging="360"/>
      </w:pPr>
      <w:rPr>
        <w:rFonts w:ascii="Symbol" w:eastAsia="SimSu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C5E68"/>
    <w:multiLevelType w:val="hybridMultilevel"/>
    <w:tmpl w:val="04DE02E8"/>
    <w:lvl w:ilvl="0" w:tplc="58D091BC">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5">
    <w:nsid w:val="33323A2A"/>
    <w:multiLevelType w:val="hybridMultilevel"/>
    <w:tmpl w:val="83E68D5A"/>
    <w:lvl w:ilvl="0" w:tplc="82103696">
      <w:start w:val="1"/>
      <w:numFmt w:val="decimal"/>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38B375CE"/>
    <w:multiLevelType w:val="hybridMultilevel"/>
    <w:tmpl w:val="14AC91EC"/>
    <w:lvl w:ilvl="0" w:tplc="A9B63AB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C4592C"/>
    <w:multiLevelType w:val="hybridMultilevel"/>
    <w:tmpl w:val="97FC399C"/>
    <w:lvl w:ilvl="0" w:tplc="D6AAE4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3F2E79DF"/>
    <w:multiLevelType w:val="hybridMultilevel"/>
    <w:tmpl w:val="964A40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C92573"/>
    <w:multiLevelType w:val="multilevel"/>
    <w:tmpl w:val="DC729424"/>
    <w:lvl w:ilvl="0">
      <w:start w:val="6"/>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nsid w:val="42F45618"/>
    <w:multiLevelType w:val="hybridMultilevel"/>
    <w:tmpl w:val="7936AAD4"/>
    <w:lvl w:ilvl="0" w:tplc="3BB626C8">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6671207"/>
    <w:multiLevelType w:val="hybridMultilevel"/>
    <w:tmpl w:val="F02A3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F092D"/>
    <w:multiLevelType w:val="hybridMultilevel"/>
    <w:tmpl w:val="04DE02E8"/>
    <w:lvl w:ilvl="0" w:tplc="58D091BC">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3">
    <w:nsid w:val="483E2607"/>
    <w:multiLevelType w:val="hybridMultilevel"/>
    <w:tmpl w:val="3D3EECDC"/>
    <w:lvl w:ilvl="0" w:tplc="564C064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D519D1"/>
    <w:multiLevelType w:val="hybridMultilevel"/>
    <w:tmpl w:val="64FC74CE"/>
    <w:lvl w:ilvl="0" w:tplc="4FD4F556">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F2971"/>
    <w:multiLevelType w:val="hybridMultilevel"/>
    <w:tmpl w:val="59D0EA64"/>
    <w:lvl w:ilvl="0" w:tplc="B2D4E4BE">
      <w:start w:val="1"/>
      <w:numFmt w:val="upperLetter"/>
      <w:lvlText w:val="%1."/>
      <w:lvlJc w:val="left"/>
      <w:pPr>
        <w:ind w:left="644" w:hanging="360"/>
      </w:pPr>
      <w:rPr>
        <w:rFonts w:hint="default"/>
        <w:b/>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6">
    <w:nsid w:val="51683CA5"/>
    <w:multiLevelType w:val="hybridMultilevel"/>
    <w:tmpl w:val="04DE02E8"/>
    <w:lvl w:ilvl="0" w:tplc="58D091BC">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7">
    <w:nsid w:val="53494C19"/>
    <w:multiLevelType w:val="hybridMultilevel"/>
    <w:tmpl w:val="19CAB2A4"/>
    <w:lvl w:ilvl="0" w:tplc="D8A26B1E">
      <w:start w:val="1"/>
      <w:numFmt w:val="decimal"/>
      <w:lvlText w:val="%1)"/>
      <w:lvlJc w:val="left"/>
      <w:pPr>
        <w:ind w:left="360" w:hanging="360"/>
      </w:pPr>
      <w:rPr>
        <w:rFonts w:hint="default"/>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CF26AD"/>
    <w:multiLevelType w:val="hybridMultilevel"/>
    <w:tmpl w:val="DE364B62"/>
    <w:lvl w:ilvl="0" w:tplc="A4C8179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A45CC"/>
    <w:multiLevelType w:val="hybridMultilevel"/>
    <w:tmpl w:val="AE28DA0C"/>
    <w:lvl w:ilvl="0" w:tplc="94AAD088">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65F82"/>
    <w:multiLevelType w:val="hybridMultilevel"/>
    <w:tmpl w:val="04DE02E8"/>
    <w:lvl w:ilvl="0" w:tplc="58D091BC">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1">
    <w:nsid w:val="63824191"/>
    <w:multiLevelType w:val="hybridMultilevel"/>
    <w:tmpl w:val="7936AAD4"/>
    <w:lvl w:ilvl="0" w:tplc="3BB626C8">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A0D3CC4"/>
    <w:multiLevelType w:val="hybridMultilevel"/>
    <w:tmpl w:val="687C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34195"/>
    <w:multiLevelType w:val="hybridMultilevel"/>
    <w:tmpl w:val="D9DC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C266A2"/>
    <w:multiLevelType w:val="hybridMultilevel"/>
    <w:tmpl w:val="ABF2E8B0"/>
    <w:lvl w:ilvl="0" w:tplc="3D0679A2">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CA1900"/>
    <w:multiLevelType w:val="hybridMultilevel"/>
    <w:tmpl w:val="CEF64EC6"/>
    <w:lvl w:ilvl="0" w:tplc="B5BED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515590"/>
    <w:multiLevelType w:val="hybridMultilevel"/>
    <w:tmpl w:val="3C223828"/>
    <w:lvl w:ilvl="0" w:tplc="515475F2">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EE16CE"/>
    <w:multiLevelType w:val="hybridMultilevel"/>
    <w:tmpl w:val="7936AAD4"/>
    <w:lvl w:ilvl="0" w:tplc="3BB626C8">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E4A345A"/>
    <w:multiLevelType w:val="hybridMultilevel"/>
    <w:tmpl w:val="3E468118"/>
    <w:lvl w:ilvl="0" w:tplc="EB326EF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1"/>
  </w:num>
  <w:num w:numId="3">
    <w:abstractNumId w:val="25"/>
  </w:num>
  <w:num w:numId="4">
    <w:abstractNumId w:val="35"/>
  </w:num>
  <w:num w:numId="5">
    <w:abstractNumId w:val="11"/>
  </w:num>
  <w:num w:numId="6">
    <w:abstractNumId w:val="29"/>
  </w:num>
  <w:num w:numId="7">
    <w:abstractNumId w:val="13"/>
  </w:num>
  <w:num w:numId="8">
    <w:abstractNumId w:val="28"/>
  </w:num>
  <w:num w:numId="9">
    <w:abstractNumId w:val="24"/>
  </w:num>
  <w:num w:numId="10">
    <w:abstractNumId w:val="18"/>
  </w:num>
  <w:num w:numId="11">
    <w:abstractNumId w:val="10"/>
  </w:num>
  <w:num w:numId="12">
    <w:abstractNumId w:val="36"/>
  </w:num>
  <w:num w:numId="13">
    <w:abstractNumId w:val="34"/>
  </w:num>
  <w:num w:numId="14">
    <w:abstractNumId w:val="9"/>
  </w:num>
  <w:num w:numId="15">
    <w:abstractNumId w:val="1"/>
  </w:num>
  <w:num w:numId="16">
    <w:abstractNumId w:val="20"/>
  </w:num>
  <w:num w:numId="17">
    <w:abstractNumId w:val="37"/>
  </w:num>
  <w:num w:numId="18">
    <w:abstractNumId w:val="31"/>
  </w:num>
  <w:num w:numId="19">
    <w:abstractNumId w:val="7"/>
  </w:num>
  <w:num w:numId="20">
    <w:abstractNumId w:val="6"/>
  </w:num>
  <w:num w:numId="21">
    <w:abstractNumId w:val="17"/>
  </w:num>
  <w:num w:numId="22">
    <w:abstractNumId w:val="16"/>
  </w:num>
  <w:num w:numId="23">
    <w:abstractNumId w:val="8"/>
  </w:num>
  <w:num w:numId="24">
    <w:abstractNumId w:val="23"/>
  </w:num>
  <w:num w:numId="25">
    <w:abstractNumId w:val="38"/>
  </w:num>
  <w:num w:numId="26">
    <w:abstractNumId w:val="15"/>
  </w:num>
  <w:num w:numId="27">
    <w:abstractNumId w:val="5"/>
  </w:num>
  <w:num w:numId="28">
    <w:abstractNumId w:val="19"/>
  </w:num>
  <w:num w:numId="29">
    <w:abstractNumId w:val="14"/>
  </w:num>
  <w:num w:numId="30">
    <w:abstractNumId w:val="26"/>
  </w:num>
  <w:num w:numId="31">
    <w:abstractNumId w:val="22"/>
  </w:num>
  <w:num w:numId="32">
    <w:abstractNumId w:val="30"/>
  </w:num>
  <w:num w:numId="33">
    <w:abstractNumId w:val="33"/>
  </w:num>
  <w:num w:numId="34">
    <w:abstractNumId w:val="2"/>
  </w:num>
  <w:num w:numId="35">
    <w:abstractNumId w:val="4"/>
  </w:num>
  <w:num w:numId="36">
    <w:abstractNumId w:val="32"/>
  </w:num>
  <w:num w:numId="37">
    <w:abstractNumId w:val="0"/>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44"/>
    <w:rsid w:val="00002248"/>
    <w:rsid w:val="00003377"/>
    <w:rsid w:val="000122CA"/>
    <w:rsid w:val="00022D36"/>
    <w:rsid w:val="00024DA9"/>
    <w:rsid w:val="00027041"/>
    <w:rsid w:val="0002724B"/>
    <w:rsid w:val="00031007"/>
    <w:rsid w:val="000353BB"/>
    <w:rsid w:val="000372A7"/>
    <w:rsid w:val="00043130"/>
    <w:rsid w:val="00043711"/>
    <w:rsid w:val="00045E74"/>
    <w:rsid w:val="00046C5A"/>
    <w:rsid w:val="0005269F"/>
    <w:rsid w:val="00056175"/>
    <w:rsid w:val="00063D6A"/>
    <w:rsid w:val="000651C9"/>
    <w:rsid w:val="000666D8"/>
    <w:rsid w:val="00067C4D"/>
    <w:rsid w:val="00072FDB"/>
    <w:rsid w:val="0007344E"/>
    <w:rsid w:val="000756CB"/>
    <w:rsid w:val="000764BF"/>
    <w:rsid w:val="000831DE"/>
    <w:rsid w:val="00086BF8"/>
    <w:rsid w:val="00087F75"/>
    <w:rsid w:val="00095311"/>
    <w:rsid w:val="000A3201"/>
    <w:rsid w:val="000A61EC"/>
    <w:rsid w:val="000A74A6"/>
    <w:rsid w:val="000A7851"/>
    <w:rsid w:val="000B04E2"/>
    <w:rsid w:val="000B15FB"/>
    <w:rsid w:val="000C0C48"/>
    <w:rsid w:val="000C140D"/>
    <w:rsid w:val="000C1C41"/>
    <w:rsid w:val="000C55F6"/>
    <w:rsid w:val="000D6068"/>
    <w:rsid w:val="000F36C0"/>
    <w:rsid w:val="0010347F"/>
    <w:rsid w:val="00105E79"/>
    <w:rsid w:val="00106980"/>
    <w:rsid w:val="00107323"/>
    <w:rsid w:val="00111F1E"/>
    <w:rsid w:val="00113379"/>
    <w:rsid w:val="00116915"/>
    <w:rsid w:val="00117173"/>
    <w:rsid w:val="00117800"/>
    <w:rsid w:val="0012019A"/>
    <w:rsid w:val="00127D98"/>
    <w:rsid w:val="001309C5"/>
    <w:rsid w:val="001420D0"/>
    <w:rsid w:val="00143368"/>
    <w:rsid w:val="001438BA"/>
    <w:rsid w:val="0015630F"/>
    <w:rsid w:val="00157E0C"/>
    <w:rsid w:val="001676D8"/>
    <w:rsid w:val="00176F28"/>
    <w:rsid w:val="0018115F"/>
    <w:rsid w:val="00184762"/>
    <w:rsid w:val="00186728"/>
    <w:rsid w:val="00186B8E"/>
    <w:rsid w:val="001928C0"/>
    <w:rsid w:val="001957FC"/>
    <w:rsid w:val="00195BBF"/>
    <w:rsid w:val="001A09AC"/>
    <w:rsid w:val="001A34D0"/>
    <w:rsid w:val="001B33F8"/>
    <w:rsid w:val="001B554D"/>
    <w:rsid w:val="001C6824"/>
    <w:rsid w:val="001D043F"/>
    <w:rsid w:val="001D08DA"/>
    <w:rsid w:val="001D14F7"/>
    <w:rsid w:val="001D3F23"/>
    <w:rsid w:val="001D7BA8"/>
    <w:rsid w:val="001E08B7"/>
    <w:rsid w:val="001E13AF"/>
    <w:rsid w:val="001E39B8"/>
    <w:rsid w:val="001E4534"/>
    <w:rsid w:val="001F5D6A"/>
    <w:rsid w:val="00203B85"/>
    <w:rsid w:val="00205D9F"/>
    <w:rsid w:val="00207183"/>
    <w:rsid w:val="00210114"/>
    <w:rsid w:val="00212A38"/>
    <w:rsid w:val="00216E85"/>
    <w:rsid w:val="0021722D"/>
    <w:rsid w:val="00223836"/>
    <w:rsid w:val="002241EC"/>
    <w:rsid w:val="00232765"/>
    <w:rsid w:val="00233623"/>
    <w:rsid w:val="00240E93"/>
    <w:rsid w:val="00242B53"/>
    <w:rsid w:val="002432F0"/>
    <w:rsid w:val="002448E5"/>
    <w:rsid w:val="00256340"/>
    <w:rsid w:val="00263BE6"/>
    <w:rsid w:val="0026765A"/>
    <w:rsid w:val="00270B2D"/>
    <w:rsid w:val="0027207A"/>
    <w:rsid w:val="0027542A"/>
    <w:rsid w:val="00277B62"/>
    <w:rsid w:val="00280E12"/>
    <w:rsid w:val="002831BE"/>
    <w:rsid w:val="0028718A"/>
    <w:rsid w:val="002937D8"/>
    <w:rsid w:val="00293F6E"/>
    <w:rsid w:val="00295B1A"/>
    <w:rsid w:val="0029616C"/>
    <w:rsid w:val="00296535"/>
    <w:rsid w:val="002A47B5"/>
    <w:rsid w:val="002A5036"/>
    <w:rsid w:val="002B12FE"/>
    <w:rsid w:val="002B1C45"/>
    <w:rsid w:val="002B4F2D"/>
    <w:rsid w:val="002B66D8"/>
    <w:rsid w:val="002C19CC"/>
    <w:rsid w:val="002C2031"/>
    <w:rsid w:val="002C2DD7"/>
    <w:rsid w:val="002C79DD"/>
    <w:rsid w:val="002D21E8"/>
    <w:rsid w:val="002D5BF0"/>
    <w:rsid w:val="002E41EA"/>
    <w:rsid w:val="002E4E1D"/>
    <w:rsid w:val="002E77E1"/>
    <w:rsid w:val="002F0A55"/>
    <w:rsid w:val="002F1557"/>
    <w:rsid w:val="002F3BA1"/>
    <w:rsid w:val="002F55E1"/>
    <w:rsid w:val="002F6BC8"/>
    <w:rsid w:val="002F79E5"/>
    <w:rsid w:val="00300F26"/>
    <w:rsid w:val="0030196A"/>
    <w:rsid w:val="00302312"/>
    <w:rsid w:val="00303879"/>
    <w:rsid w:val="00310738"/>
    <w:rsid w:val="003109E8"/>
    <w:rsid w:val="00311C23"/>
    <w:rsid w:val="00312B4F"/>
    <w:rsid w:val="0032410A"/>
    <w:rsid w:val="00324550"/>
    <w:rsid w:val="00326C1D"/>
    <w:rsid w:val="003401D2"/>
    <w:rsid w:val="00340DE8"/>
    <w:rsid w:val="003431C1"/>
    <w:rsid w:val="00343D75"/>
    <w:rsid w:val="003461BC"/>
    <w:rsid w:val="00347994"/>
    <w:rsid w:val="00353B36"/>
    <w:rsid w:val="00366599"/>
    <w:rsid w:val="003702C5"/>
    <w:rsid w:val="00370D04"/>
    <w:rsid w:val="00373904"/>
    <w:rsid w:val="00374E68"/>
    <w:rsid w:val="003766B1"/>
    <w:rsid w:val="003767DA"/>
    <w:rsid w:val="0038207A"/>
    <w:rsid w:val="00382F1B"/>
    <w:rsid w:val="0038515C"/>
    <w:rsid w:val="0038740F"/>
    <w:rsid w:val="00396C57"/>
    <w:rsid w:val="003978DD"/>
    <w:rsid w:val="003A183A"/>
    <w:rsid w:val="003A24B4"/>
    <w:rsid w:val="003A5CE5"/>
    <w:rsid w:val="003B0414"/>
    <w:rsid w:val="003B28CB"/>
    <w:rsid w:val="003B4F31"/>
    <w:rsid w:val="003B7413"/>
    <w:rsid w:val="003C0C77"/>
    <w:rsid w:val="003C10E7"/>
    <w:rsid w:val="003C362D"/>
    <w:rsid w:val="003D71D7"/>
    <w:rsid w:val="003E419E"/>
    <w:rsid w:val="003E6067"/>
    <w:rsid w:val="003E6174"/>
    <w:rsid w:val="003E6EB5"/>
    <w:rsid w:val="003F1AE9"/>
    <w:rsid w:val="003F3C32"/>
    <w:rsid w:val="003F7060"/>
    <w:rsid w:val="003F7081"/>
    <w:rsid w:val="003F7256"/>
    <w:rsid w:val="00400209"/>
    <w:rsid w:val="00401F9F"/>
    <w:rsid w:val="00404934"/>
    <w:rsid w:val="00411C7B"/>
    <w:rsid w:val="0041348A"/>
    <w:rsid w:val="00417269"/>
    <w:rsid w:val="00421ECD"/>
    <w:rsid w:val="00423499"/>
    <w:rsid w:val="004234A6"/>
    <w:rsid w:val="00427C7B"/>
    <w:rsid w:val="0043268C"/>
    <w:rsid w:val="00434D44"/>
    <w:rsid w:val="00435EF9"/>
    <w:rsid w:val="00436367"/>
    <w:rsid w:val="00441219"/>
    <w:rsid w:val="00441FB1"/>
    <w:rsid w:val="00442DFA"/>
    <w:rsid w:val="0045222D"/>
    <w:rsid w:val="004529BD"/>
    <w:rsid w:val="00454629"/>
    <w:rsid w:val="00454F41"/>
    <w:rsid w:val="00457008"/>
    <w:rsid w:val="00464727"/>
    <w:rsid w:val="0047038B"/>
    <w:rsid w:val="0047097F"/>
    <w:rsid w:val="00473983"/>
    <w:rsid w:val="00490703"/>
    <w:rsid w:val="00497E95"/>
    <w:rsid w:val="004A00D6"/>
    <w:rsid w:val="004B5353"/>
    <w:rsid w:val="004B5E4A"/>
    <w:rsid w:val="004C112C"/>
    <w:rsid w:val="004C5381"/>
    <w:rsid w:val="004D53F8"/>
    <w:rsid w:val="004E043C"/>
    <w:rsid w:val="004E1F9D"/>
    <w:rsid w:val="004E2204"/>
    <w:rsid w:val="004F2332"/>
    <w:rsid w:val="004F2AEC"/>
    <w:rsid w:val="005045F1"/>
    <w:rsid w:val="00507757"/>
    <w:rsid w:val="00510372"/>
    <w:rsid w:val="00510864"/>
    <w:rsid w:val="00517DB8"/>
    <w:rsid w:val="00520232"/>
    <w:rsid w:val="00521EA0"/>
    <w:rsid w:val="005241B6"/>
    <w:rsid w:val="0052661E"/>
    <w:rsid w:val="005344D0"/>
    <w:rsid w:val="00535FCB"/>
    <w:rsid w:val="00541360"/>
    <w:rsid w:val="005439FA"/>
    <w:rsid w:val="005451FB"/>
    <w:rsid w:val="00550227"/>
    <w:rsid w:val="00551B05"/>
    <w:rsid w:val="00551CCC"/>
    <w:rsid w:val="00554576"/>
    <w:rsid w:val="00555568"/>
    <w:rsid w:val="00557E63"/>
    <w:rsid w:val="00560FC3"/>
    <w:rsid w:val="00563D28"/>
    <w:rsid w:val="00563F8F"/>
    <w:rsid w:val="0057117A"/>
    <w:rsid w:val="0058175B"/>
    <w:rsid w:val="00582A0D"/>
    <w:rsid w:val="00593D3E"/>
    <w:rsid w:val="005970A1"/>
    <w:rsid w:val="005A0F3B"/>
    <w:rsid w:val="005A721E"/>
    <w:rsid w:val="005B0093"/>
    <w:rsid w:val="005C19D2"/>
    <w:rsid w:val="005C57EB"/>
    <w:rsid w:val="005D5A92"/>
    <w:rsid w:val="005D7BD8"/>
    <w:rsid w:val="005E12DD"/>
    <w:rsid w:val="005E2952"/>
    <w:rsid w:val="005E43F5"/>
    <w:rsid w:val="005E638A"/>
    <w:rsid w:val="005F78CA"/>
    <w:rsid w:val="00605B98"/>
    <w:rsid w:val="006060D1"/>
    <w:rsid w:val="006116FC"/>
    <w:rsid w:val="00614FDC"/>
    <w:rsid w:val="0062009F"/>
    <w:rsid w:val="00620723"/>
    <w:rsid w:val="006229E1"/>
    <w:rsid w:val="00624258"/>
    <w:rsid w:val="00627361"/>
    <w:rsid w:val="00634499"/>
    <w:rsid w:val="00636340"/>
    <w:rsid w:val="0063686E"/>
    <w:rsid w:val="0064166F"/>
    <w:rsid w:val="00641EBA"/>
    <w:rsid w:val="00642BC1"/>
    <w:rsid w:val="0064329E"/>
    <w:rsid w:val="006506AB"/>
    <w:rsid w:val="006524A8"/>
    <w:rsid w:val="006532C9"/>
    <w:rsid w:val="00662BC6"/>
    <w:rsid w:val="00664CDF"/>
    <w:rsid w:val="00666D99"/>
    <w:rsid w:val="00667D4F"/>
    <w:rsid w:val="00667EA6"/>
    <w:rsid w:val="00676669"/>
    <w:rsid w:val="00676E0E"/>
    <w:rsid w:val="0069055F"/>
    <w:rsid w:val="00692071"/>
    <w:rsid w:val="006935F4"/>
    <w:rsid w:val="006A4D7B"/>
    <w:rsid w:val="006B1609"/>
    <w:rsid w:val="006B17AB"/>
    <w:rsid w:val="006B26C4"/>
    <w:rsid w:val="006B2814"/>
    <w:rsid w:val="006B3994"/>
    <w:rsid w:val="006B4D4D"/>
    <w:rsid w:val="006B67C4"/>
    <w:rsid w:val="006C27F6"/>
    <w:rsid w:val="006C28C6"/>
    <w:rsid w:val="006C4F1D"/>
    <w:rsid w:val="006C5A25"/>
    <w:rsid w:val="006C7A02"/>
    <w:rsid w:val="006D2CCA"/>
    <w:rsid w:val="006D454D"/>
    <w:rsid w:val="006E251C"/>
    <w:rsid w:val="006E3907"/>
    <w:rsid w:val="006E769C"/>
    <w:rsid w:val="006F1613"/>
    <w:rsid w:val="006F16CE"/>
    <w:rsid w:val="006F1D87"/>
    <w:rsid w:val="007066B6"/>
    <w:rsid w:val="00710179"/>
    <w:rsid w:val="007107EA"/>
    <w:rsid w:val="00714B9B"/>
    <w:rsid w:val="007243F4"/>
    <w:rsid w:val="00727089"/>
    <w:rsid w:val="00731FE8"/>
    <w:rsid w:val="00732DC9"/>
    <w:rsid w:val="00752125"/>
    <w:rsid w:val="00761956"/>
    <w:rsid w:val="00764410"/>
    <w:rsid w:val="0076748B"/>
    <w:rsid w:val="00770A72"/>
    <w:rsid w:val="00775ECD"/>
    <w:rsid w:val="00780CE9"/>
    <w:rsid w:val="00787377"/>
    <w:rsid w:val="0079170B"/>
    <w:rsid w:val="007938EA"/>
    <w:rsid w:val="007952A1"/>
    <w:rsid w:val="00795330"/>
    <w:rsid w:val="00796214"/>
    <w:rsid w:val="007A2ADF"/>
    <w:rsid w:val="007A4120"/>
    <w:rsid w:val="007A7CF2"/>
    <w:rsid w:val="007B1071"/>
    <w:rsid w:val="007B4AAC"/>
    <w:rsid w:val="007B526F"/>
    <w:rsid w:val="007C3033"/>
    <w:rsid w:val="007C3DC8"/>
    <w:rsid w:val="007C45FD"/>
    <w:rsid w:val="007E0964"/>
    <w:rsid w:val="007E2850"/>
    <w:rsid w:val="007E401C"/>
    <w:rsid w:val="007F4A30"/>
    <w:rsid w:val="00801F44"/>
    <w:rsid w:val="00804980"/>
    <w:rsid w:val="008057DA"/>
    <w:rsid w:val="00806B05"/>
    <w:rsid w:val="00811BCA"/>
    <w:rsid w:val="0081405D"/>
    <w:rsid w:val="008147C5"/>
    <w:rsid w:val="00822F7E"/>
    <w:rsid w:val="00823059"/>
    <w:rsid w:val="008252CC"/>
    <w:rsid w:val="00827B70"/>
    <w:rsid w:val="008349F1"/>
    <w:rsid w:val="008407D5"/>
    <w:rsid w:val="00844314"/>
    <w:rsid w:val="008443B6"/>
    <w:rsid w:val="00845C87"/>
    <w:rsid w:val="00847DCB"/>
    <w:rsid w:val="00850822"/>
    <w:rsid w:val="00854A16"/>
    <w:rsid w:val="008565D6"/>
    <w:rsid w:val="008575B0"/>
    <w:rsid w:val="00860B21"/>
    <w:rsid w:val="00860D64"/>
    <w:rsid w:val="0086116A"/>
    <w:rsid w:val="00861199"/>
    <w:rsid w:val="00861335"/>
    <w:rsid w:val="00870DEE"/>
    <w:rsid w:val="00883B84"/>
    <w:rsid w:val="00884257"/>
    <w:rsid w:val="0088736A"/>
    <w:rsid w:val="00890FE3"/>
    <w:rsid w:val="008914B6"/>
    <w:rsid w:val="0089315A"/>
    <w:rsid w:val="00895B44"/>
    <w:rsid w:val="008A098D"/>
    <w:rsid w:val="008A1FE0"/>
    <w:rsid w:val="008A290B"/>
    <w:rsid w:val="008A7AD5"/>
    <w:rsid w:val="008C0E1D"/>
    <w:rsid w:val="008D12D4"/>
    <w:rsid w:val="008D2914"/>
    <w:rsid w:val="008D37DD"/>
    <w:rsid w:val="008D77F8"/>
    <w:rsid w:val="008E3866"/>
    <w:rsid w:val="008E3E3B"/>
    <w:rsid w:val="008E4097"/>
    <w:rsid w:val="008E57A1"/>
    <w:rsid w:val="008F123B"/>
    <w:rsid w:val="008F2F9A"/>
    <w:rsid w:val="008F430C"/>
    <w:rsid w:val="00902400"/>
    <w:rsid w:val="00902A6E"/>
    <w:rsid w:val="00907877"/>
    <w:rsid w:val="00913FBE"/>
    <w:rsid w:val="0091734E"/>
    <w:rsid w:val="00922DB1"/>
    <w:rsid w:val="00926038"/>
    <w:rsid w:val="009279E2"/>
    <w:rsid w:val="00933355"/>
    <w:rsid w:val="0093397A"/>
    <w:rsid w:val="00937462"/>
    <w:rsid w:val="00937591"/>
    <w:rsid w:val="00943F4D"/>
    <w:rsid w:val="00947365"/>
    <w:rsid w:val="00957038"/>
    <w:rsid w:val="009619E7"/>
    <w:rsid w:val="00962BE8"/>
    <w:rsid w:val="0096522D"/>
    <w:rsid w:val="00967E06"/>
    <w:rsid w:val="00970808"/>
    <w:rsid w:val="00970836"/>
    <w:rsid w:val="00971805"/>
    <w:rsid w:val="00973DA3"/>
    <w:rsid w:val="00974EB5"/>
    <w:rsid w:val="009754B1"/>
    <w:rsid w:val="0097554D"/>
    <w:rsid w:val="00981E39"/>
    <w:rsid w:val="009842FB"/>
    <w:rsid w:val="009933A6"/>
    <w:rsid w:val="00995029"/>
    <w:rsid w:val="00997FA4"/>
    <w:rsid w:val="009A1622"/>
    <w:rsid w:val="009B26FA"/>
    <w:rsid w:val="009B4B16"/>
    <w:rsid w:val="009C0BF8"/>
    <w:rsid w:val="009C1636"/>
    <w:rsid w:val="009C1DD3"/>
    <w:rsid w:val="009C6DAD"/>
    <w:rsid w:val="009C7FB3"/>
    <w:rsid w:val="009D00E2"/>
    <w:rsid w:val="009D060E"/>
    <w:rsid w:val="009D2E16"/>
    <w:rsid w:val="009D3075"/>
    <w:rsid w:val="009D7A33"/>
    <w:rsid w:val="009E17BF"/>
    <w:rsid w:val="009E50BF"/>
    <w:rsid w:val="009E542E"/>
    <w:rsid w:val="009E6A1C"/>
    <w:rsid w:val="009F3648"/>
    <w:rsid w:val="009F488F"/>
    <w:rsid w:val="009F4FA8"/>
    <w:rsid w:val="009F5BF8"/>
    <w:rsid w:val="00A015A9"/>
    <w:rsid w:val="00A03B4F"/>
    <w:rsid w:val="00A1000D"/>
    <w:rsid w:val="00A12F47"/>
    <w:rsid w:val="00A13164"/>
    <w:rsid w:val="00A14FE6"/>
    <w:rsid w:val="00A25EFE"/>
    <w:rsid w:val="00A3299E"/>
    <w:rsid w:val="00A340FA"/>
    <w:rsid w:val="00A355F6"/>
    <w:rsid w:val="00A374BF"/>
    <w:rsid w:val="00A40E33"/>
    <w:rsid w:val="00A47128"/>
    <w:rsid w:val="00A529C4"/>
    <w:rsid w:val="00A60116"/>
    <w:rsid w:val="00A63F87"/>
    <w:rsid w:val="00A65195"/>
    <w:rsid w:val="00A717BE"/>
    <w:rsid w:val="00A73FB0"/>
    <w:rsid w:val="00A808C1"/>
    <w:rsid w:val="00A82C15"/>
    <w:rsid w:val="00A83AFB"/>
    <w:rsid w:val="00A83D57"/>
    <w:rsid w:val="00A9460D"/>
    <w:rsid w:val="00A94A1B"/>
    <w:rsid w:val="00AA001A"/>
    <w:rsid w:val="00AA4356"/>
    <w:rsid w:val="00AA468D"/>
    <w:rsid w:val="00AA620E"/>
    <w:rsid w:val="00AB4254"/>
    <w:rsid w:val="00AB488E"/>
    <w:rsid w:val="00AB4F61"/>
    <w:rsid w:val="00AC3C33"/>
    <w:rsid w:val="00AD5F22"/>
    <w:rsid w:val="00AD6783"/>
    <w:rsid w:val="00AE17C8"/>
    <w:rsid w:val="00AE3666"/>
    <w:rsid w:val="00AE7D33"/>
    <w:rsid w:val="00AF131F"/>
    <w:rsid w:val="00AF2B99"/>
    <w:rsid w:val="00AF4A3E"/>
    <w:rsid w:val="00AF5BEE"/>
    <w:rsid w:val="00AF6990"/>
    <w:rsid w:val="00AF69C9"/>
    <w:rsid w:val="00B018C8"/>
    <w:rsid w:val="00B02914"/>
    <w:rsid w:val="00B04E6F"/>
    <w:rsid w:val="00B04EC1"/>
    <w:rsid w:val="00B1047A"/>
    <w:rsid w:val="00B1064F"/>
    <w:rsid w:val="00B13475"/>
    <w:rsid w:val="00B1683F"/>
    <w:rsid w:val="00B20572"/>
    <w:rsid w:val="00B20F07"/>
    <w:rsid w:val="00B212BC"/>
    <w:rsid w:val="00B270BC"/>
    <w:rsid w:val="00B31C67"/>
    <w:rsid w:val="00B377AE"/>
    <w:rsid w:val="00B41581"/>
    <w:rsid w:val="00B445C0"/>
    <w:rsid w:val="00B45CB8"/>
    <w:rsid w:val="00B51D8D"/>
    <w:rsid w:val="00B6005F"/>
    <w:rsid w:val="00B6392C"/>
    <w:rsid w:val="00B63A31"/>
    <w:rsid w:val="00B65490"/>
    <w:rsid w:val="00B71A92"/>
    <w:rsid w:val="00B73CE9"/>
    <w:rsid w:val="00B81A67"/>
    <w:rsid w:val="00B82AF1"/>
    <w:rsid w:val="00B93F17"/>
    <w:rsid w:val="00B975E4"/>
    <w:rsid w:val="00BB256E"/>
    <w:rsid w:val="00BB7ABB"/>
    <w:rsid w:val="00BC61B8"/>
    <w:rsid w:val="00BD4200"/>
    <w:rsid w:val="00BE1D78"/>
    <w:rsid w:val="00BE26F5"/>
    <w:rsid w:val="00BE3853"/>
    <w:rsid w:val="00BE5C0C"/>
    <w:rsid w:val="00BF0E49"/>
    <w:rsid w:val="00BF1879"/>
    <w:rsid w:val="00BF3086"/>
    <w:rsid w:val="00BF7C52"/>
    <w:rsid w:val="00C053E6"/>
    <w:rsid w:val="00C05779"/>
    <w:rsid w:val="00C10EA9"/>
    <w:rsid w:val="00C200B5"/>
    <w:rsid w:val="00C21BBF"/>
    <w:rsid w:val="00C225A5"/>
    <w:rsid w:val="00C24012"/>
    <w:rsid w:val="00C25C01"/>
    <w:rsid w:val="00C26348"/>
    <w:rsid w:val="00C31226"/>
    <w:rsid w:val="00C332CC"/>
    <w:rsid w:val="00C378EA"/>
    <w:rsid w:val="00C37D47"/>
    <w:rsid w:val="00C42C46"/>
    <w:rsid w:val="00C50DDB"/>
    <w:rsid w:val="00C50F07"/>
    <w:rsid w:val="00C51FC4"/>
    <w:rsid w:val="00C65442"/>
    <w:rsid w:val="00C716C8"/>
    <w:rsid w:val="00C719ED"/>
    <w:rsid w:val="00C7310B"/>
    <w:rsid w:val="00C821E2"/>
    <w:rsid w:val="00C85B5C"/>
    <w:rsid w:val="00C95048"/>
    <w:rsid w:val="00CA58EF"/>
    <w:rsid w:val="00CB6F81"/>
    <w:rsid w:val="00CC1A7B"/>
    <w:rsid w:val="00CC2115"/>
    <w:rsid w:val="00CD0C0D"/>
    <w:rsid w:val="00CD18D5"/>
    <w:rsid w:val="00CD4CF6"/>
    <w:rsid w:val="00CD5C81"/>
    <w:rsid w:val="00CD5EE2"/>
    <w:rsid w:val="00CD6699"/>
    <w:rsid w:val="00CD7F0A"/>
    <w:rsid w:val="00CE0C87"/>
    <w:rsid w:val="00CF053B"/>
    <w:rsid w:val="00CF4DB9"/>
    <w:rsid w:val="00CF5950"/>
    <w:rsid w:val="00CF64E1"/>
    <w:rsid w:val="00D013EC"/>
    <w:rsid w:val="00D05B71"/>
    <w:rsid w:val="00D05BCF"/>
    <w:rsid w:val="00D10ABD"/>
    <w:rsid w:val="00D12062"/>
    <w:rsid w:val="00D12780"/>
    <w:rsid w:val="00D15221"/>
    <w:rsid w:val="00D17903"/>
    <w:rsid w:val="00D236E5"/>
    <w:rsid w:val="00D245CF"/>
    <w:rsid w:val="00D2494B"/>
    <w:rsid w:val="00D24DE9"/>
    <w:rsid w:val="00D251FB"/>
    <w:rsid w:val="00D262BF"/>
    <w:rsid w:val="00D337C1"/>
    <w:rsid w:val="00D36E93"/>
    <w:rsid w:val="00D3707D"/>
    <w:rsid w:val="00D42498"/>
    <w:rsid w:val="00D46094"/>
    <w:rsid w:val="00D474D2"/>
    <w:rsid w:val="00D478BE"/>
    <w:rsid w:val="00D50C0C"/>
    <w:rsid w:val="00D51184"/>
    <w:rsid w:val="00D54D34"/>
    <w:rsid w:val="00D61F47"/>
    <w:rsid w:val="00D62CFE"/>
    <w:rsid w:val="00D63DE7"/>
    <w:rsid w:val="00D646A3"/>
    <w:rsid w:val="00D653B9"/>
    <w:rsid w:val="00D65B6C"/>
    <w:rsid w:val="00D66D96"/>
    <w:rsid w:val="00D6717A"/>
    <w:rsid w:val="00D751AE"/>
    <w:rsid w:val="00D823F5"/>
    <w:rsid w:val="00D8660D"/>
    <w:rsid w:val="00DA0FEF"/>
    <w:rsid w:val="00DA476C"/>
    <w:rsid w:val="00DA54A2"/>
    <w:rsid w:val="00DA6346"/>
    <w:rsid w:val="00DB11FB"/>
    <w:rsid w:val="00DB69AF"/>
    <w:rsid w:val="00DB7AD9"/>
    <w:rsid w:val="00DC13AA"/>
    <w:rsid w:val="00DC60A9"/>
    <w:rsid w:val="00DC6EB7"/>
    <w:rsid w:val="00DD443D"/>
    <w:rsid w:val="00DD5B9D"/>
    <w:rsid w:val="00DE16A3"/>
    <w:rsid w:val="00DE1C9E"/>
    <w:rsid w:val="00DE4D0A"/>
    <w:rsid w:val="00DE5CAF"/>
    <w:rsid w:val="00DE73EF"/>
    <w:rsid w:val="00DE782A"/>
    <w:rsid w:val="00DF1809"/>
    <w:rsid w:val="00DF1987"/>
    <w:rsid w:val="00DF2748"/>
    <w:rsid w:val="00DF37DD"/>
    <w:rsid w:val="00DF6505"/>
    <w:rsid w:val="00E04A5F"/>
    <w:rsid w:val="00E07115"/>
    <w:rsid w:val="00E1170B"/>
    <w:rsid w:val="00E13FB5"/>
    <w:rsid w:val="00E17992"/>
    <w:rsid w:val="00E20879"/>
    <w:rsid w:val="00E34699"/>
    <w:rsid w:val="00E3622C"/>
    <w:rsid w:val="00E40565"/>
    <w:rsid w:val="00E41CC4"/>
    <w:rsid w:val="00E42D32"/>
    <w:rsid w:val="00E44367"/>
    <w:rsid w:val="00E44E33"/>
    <w:rsid w:val="00E5181F"/>
    <w:rsid w:val="00E55001"/>
    <w:rsid w:val="00E640DB"/>
    <w:rsid w:val="00E67CD9"/>
    <w:rsid w:val="00E72959"/>
    <w:rsid w:val="00E758F6"/>
    <w:rsid w:val="00E773C5"/>
    <w:rsid w:val="00E805AA"/>
    <w:rsid w:val="00E85838"/>
    <w:rsid w:val="00E85B1A"/>
    <w:rsid w:val="00E860C7"/>
    <w:rsid w:val="00E865A6"/>
    <w:rsid w:val="00E92F16"/>
    <w:rsid w:val="00EA1BCB"/>
    <w:rsid w:val="00EA1BD8"/>
    <w:rsid w:val="00EA1FA6"/>
    <w:rsid w:val="00EA3FBA"/>
    <w:rsid w:val="00EA77B8"/>
    <w:rsid w:val="00EB4433"/>
    <w:rsid w:val="00EB7AC7"/>
    <w:rsid w:val="00EC1FD1"/>
    <w:rsid w:val="00EC37F9"/>
    <w:rsid w:val="00ED011E"/>
    <w:rsid w:val="00ED07D4"/>
    <w:rsid w:val="00EE07BE"/>
    <w:rsid w:val="00EE25D1"/>
    <w:rsid w:val="00EE37BB"/>
    <w:rsid w:val="00EE5E37"/>
    <w:rsid w:val="00EF65C0"/>
    <w:rsid w:val="00EF703F"/>
    <w:rsid w:val="00F06A8E"/>
    <w:rsid w:val="00F11911"/>
    <w:rsid w:val="00F16D64"/>
    <w:rsid w:val="00F20834"/>
    <w:rsid w:val="00F24658"/>
    <w:rsid w:val="00F25793"/>
    <w:rsid w:val="00F25ABE"/>
    <w:rsid w:val="00F25F05"/>
    <w:rsid w:val="00F30F05"/>
    <w:rsid w:val="00F31E1A"/>
    <w:rsid w:val="00F335A9"/>
    <w:rsid w:val="00F34DF1"/>
    <w:rsid w:val="00F425EA"/>
    <w:rsid w:val="00F426E0"/>
    <w:rsid w:val="00F4380C"/>
    <w:rsid w:val="00F4598C"/>
    <w:rsid w:val="00F50413"/>
    <w:rsid w:val="00F53589"/>
    <w:rsid w:val="00F632E6"/>
    <w:rsid w:val="00F67F77"/>
    <w:rsid w:val="00F701E0"/>
    <w:rsid w:val="00F71E46"/>
    <w:rsid w:val="00F737BD"/>
    <w:rsid w:val="00F91CAB"/>
    <w:rsid w:val="00F92739"/>
    <w:rsid w:val="00F92F22"/>
    <w:rsid w:val="00F94717"/>
    <w:rsid w:val="00F96474"/>
    <w:rsid w:val="00FA1A31"/>
    <w:rsid w:val="00FB3B7D"/>
    <w:rsid w:val="00FB4189"/>
    <w:rsid w:val="00FB6170"/>
    <w:rsid w:val="00FB6D2A"/>
    <w:rsid w:val="00FC1C4C"/>
    <w:rsid w:val="00FC6DD9"/>
    <w:rsid w:val="00FC6E69"/>
    <w:rsid w:val="00FC752A"/>
    <w:rsid w:val="00FD08B1"/>
    <w:rsid w:val="00FD1563"/>
    <w:rsid w:val="00FD15FC"/>
    <w:rsid w:val="00FD6FCD"/>
    <w:rsid w:val="00FE03F4"/>
    <w:rsid w:val="00FE1119"/>
    <w:rsid w:val="00FF0222"/>
    <w:rsid w:val="00FF492E"/>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1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3BE6"/>
    <w:rPr>
      <w:rFonts w:eastAsia="SimSun"/>
      <w:sz w:val="24"/>
      <w:szCs w:val="24"/>
    </w:rPr>
  </w:style>
  <w:style w:type="paragraph" w:styleId="Heading2">
    <w:name w:val="heading 2"/>
    <w:basedOn w:val="Normal"/>
    <w:next w:val="Normal"/>
    <w:link w:val="Heading2Char"/>
    <w:unhideWhenUsed/>
    <w:qFormat/>
    <w:rsid w:val="00AB488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BE6"/>
    <w:pPr>
      <w:ind w:left="720"/>
      <w:contextualSpacing/>
    </w:pPr>
  </w:style>
  <w:style w:type="paragraph" w:styleId="Caption">
    <w:name w:val="caption"/>
    <w:basedOn w:val="Normal"/>
    <w:next w:val="Normal"/>
    <w:unhideWhenUsed/>
    <w:qFormat/>
    <w:rsid w:val="00263BE6"/>
    <w:pPr>
      <w:spacing w:after="200"/>
    </w:pPr>
    <w:rPr>
      <w:rFonts w:eastAsia="Times New Roman"/>
      <w:b/>
      <w:bCs/>
      <w:color w:val="4F81BD"/>
      <w:sz w:val="18"/>
      <w:szCs w:val="18"/>
    </w:rPr>
  </w:style>
  <w:style w:type="character" w:styleId="Emphasis">
    <w:name w:val="Emphasis"/>
    <w:qFormat/>
    <w:rsid w:val="00263BE6"/>
    <w:rPr>
      <w:i/>
      <w:iCs/>
    </w:rPr>
  </w:style>
  <w:style w:type="paragraph" w:customStyle="1" w:styleId="Default">
    <w:name w:val="Default"/>
    <w:rsid w:val="00464727"/>
    <w:pPr>
      <w:autoSpaceDE w:val="0"/>
      <w:autoSpaceDN w:val="0"/>
      <w:adjustRightInd w:val="0"/>
    </w:pPr>
    <w:rPr>
      <w:rFonts w:ascii="StoneSans" w:hAnsi="StoneSans" w:cs="StoneSans"/>
      <w:color w:val="000000"/>
      <w:sz w:val="24"/>
      <w:szCs w:val="24"/>
      <w:lang w:val="en-GB" w:eastAsia="en-GB"/>
    </w:rPr>
  </w:style>
  <w:style w:type="table" w:styleId="TableGrid">
    <w:name w:val="Table Grid"/>
    <w:basedOn w:val="TableNormal"/>
    <w:rsid w:val="00464727"/>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902A6E"/>
    <w:pPr>
      <w:spacing w:line="480" w:lineRule="auto"/>
      <w:jc w:val="center"/>
    </w:pPr>
    <w:rPr>
      <w:rFonts w:eastAsia="Times New Roman"/>
      <w:b/>
      <w:bCs/>
      <w:lang w:eastAsia="x-none"/>
    </w:rPr>
  </w:style>
  <w:style w:type="character" w:customStyle="1" w:styleId="TitleChar">
    <w:name w:val="Title Char"/>
    <w:link w:val="Title"/>
    <w:rsid w:val="00902A6E"/>
    <w:rPr>
      <w:rFonts w:eastAsia="Times New Roman"/>
      <w:b/>
      <w:bCs/>
      <w:sz w:val="24"/>
      <w:szCs w:val="24"/>
      <w:lang w:val="en-US"/>
    </w:rPr>
  </w:style>
  <w:style w:type="paragraph" w:styleId="NoSpacing">
    <w:name w:val="No Spacing"/>
    <w:uiPriority w:val="1"/>
    <w:qFormat/>
    <w:rsid w:val="008407D5"/>
    <w:rPr>
      <w:sz w:val="24"/>
      <w:szCs w:val="24"/>
    </w:rPr>
  </w:style>
  <w:style w:type="paragraph" w:styleId="Header">
    <w:name w:val="header"/>
    <w:basedOn w:val="Normal"/>
    <w:link w:val="HeaderChar"/>
    <w:uiPriority w:val="99"/>
    <w:semiHidden/>
    <w:unhideWhenUsed/>
    <w:rsid w:val="006C5A25"/>
    <w:pPr>
      <w:tabs>
        <w:tab w:val="center" w:pos="4513"/>
        <w:tab w:val="right" w:pos="9026"/>
      </w:tabs>
    </w:pPr>
    <w:rPr>
      <w:lang w:eastAsia="x-none"/>
    </w:rPr>
  </w:style>
  <w:style w:type="character" w:customStyle="1" w:styleId="HeaderChar">
    <w:name w:val="Header Char"/>
    <w:link w:val="Header"/>
    <w:uiPriority w:val="99"/>
    <w:semiHidden/>
    <w:rsid w:val="006C5A25"/>
    <w:rPr>
      <w:rFonts w:eastAsia="SimSun"/>
      <w:sz w:val="24"/>
      <w:szCs w:val="24"/>
      <w:lang w:val="en-US"/>
    </w:rPr>
  </w:style>
  <w:style w:type="paragraph" w:styleId="Footer">
    <w:name w:val="footer"/>
    <w:basedOn w:val="Normal"/>
    <w:link w:val="FooterChar"/>
    <w:uiPriority w:val="99"/>
    <w:semiHidden/>
    <w:unhideWhenUsed/>
    <w:rsid w:val="006C5A25"/>
    <w:pPr>
      <w:tabs>
        <w:tab w:val="center" w:pos="4513"/>
        <w:tab w:val="right" w:pos="9026"/>
      </w:tabs>
    </w:pPr>
    <w:rPr>
      <w:lang w:eastAsia="x-none"/>
    </w:rPr>
  </w:style>
  <w:style w:type="character" w:customStyle="1" w:styleId="FooterChar">
    <w:name w:val="Footer Char"/>
    <w:link w:val="Footer"/>
    <w:uiPriority w:val="99"/>
    <w:semiHidden/>
    <w:rsid w:val="006C5A25"/>
    <w:rPr>
      <w:rFonts w:eastAsia="SimSun"/>
      <w:sz w:val="24"/>
      <w:szCs w:val="24"/>
      <w:lang w:val="en-US"/>
    </w:rPr>
  </w:style>
  <w:style w:type="paragraph" w:styleId="BalloonText">
    <w:name w:val="Balloon Text"/>
    <w:basedOn w:val="Normal"/>
    <w:link w:val="BalloonTextChar"/>
    <w:uiPriority w:val="99"/>
    <w:semiHidden/>
    <w:unhideWhenUsed/>
    <w:rsid w:val="00B975E4"/>
    <w:rPr>
      <w:rFonts w:ascii="Tahoma" w:hAnsi="Tahoma"/>
      <w:sz w:val="16"/>
      <w:szCs w:val="16"/>
      <w:lang w:eastAsia="x-none"/>
    </w:rPr>
  </w:style>
  <w:style w:type="character" w:customStyle="1" w:styleId="BalloonTextChar">
    <w:name w:val="Balloon Text Char"/>
    <w:link w:val="BalloonText"/>
    <w:uiPriority w:val="99"/>
    <w:semiHidden/>
    <w:rsid w:val="00B975E4"/>
    <w:rPr>
      <w:rFonts w:ascii="Tahoma" w:eastAsia="SimSun" w:hAnsi="Tahoma" w:cs="Tahoma"/>
      <w:sz w:val="16"/>
      <w:szCs w:val="16"/>
      <w:lang w:val="en-US"/>
    </w:rPr>
  </w:style>
  <w:style w:type="character" w:styleId="Hyperlink">
    <w:name w:val="Hyperlink"/>
    <w:uiPriority w:val="99"/>
    <w:unhideWhenUsed/>
    <w:rsid w:val="00063D6A"/>
    <w:rPr>
      <w:color w:val="0000FF"/>
      <w:u w:val="single"/>
    </w:rPr>
  </w:style>
  <w:style w:type="character" w:customStyle="1" w:styleId="Heading2Char">
    <w:name w:val="Heading 2 Char"/>
    <w:link w:val="Heading2"/>
    <w:rsid w:val="00AB488E"/>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1F5D6A"/>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8E3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2164">
      <w:bodyDiv w:val="1"/>
      <w:marLeft w:val="0"/>
      <w:marRight w:val="0"/>
      <w:marTop w:val="0"/>
      <w:marBottom w:val="0"/>
      <w:divBdr>
        <w:top w:val="none" w:sz="0" w:space="0" w:color="auto"/>
        <w:left w:val="none" w:sz="0" w:space="0" w:color="auto"/>
        <w:bottom w:val="none" w:sz="0" w:space="0" w:color="auto"/>
        <w:right w:val="none" w:sz="0" w:space="0" w:color="auto"/>
      </w:divBdr>
      <w:divsChild>
        <w:div w:id="430006582">
          <w:marLeft w:val="0"/>
          <w:marRight w:val="0"/>
          <w:marTop w:val="0"/>
          <w:marBottom w:val="0"/>
          <w:divBdr>
            <w:top w:val="none" w:sz="0" w:space="0" w:color="auto"/>
            <w:left w:val="none" w:sz="0" w:space="0" w:color="auto"/>
            <w:bottom w:val="none" w:sz="0" w:space="0" w:color="auto"/>
            <w:right w:val="none" w:sz="0" w:space="0" w:color="auto"/>
          </w:divBdr>
        </w:div>
        <w:div w:id="1001200044">
          <w:marLeft w:val="0"/>
          <w:marRight w:val="0"/>
          <w:marTop w:val="0"/>
          <w:marBottom w:val="0"/>
          <w:divBdr>
            <w:top w:val="none" w:sz="0" w:space="0" w:color="auto"/>
            <w:left w:val="none" w:sz="0" w:space="0" w:color="auto"/>
            <w:bottom w:val="none" w:sz="0" w:space="0" w:color="auto"/>
            <w:right w:val="none" w:sz="0" w:space="0" w:color="auto"/>
          </w:divBdr>
        </w:div>
        <w:div w:id="1990281613">
          <w:marLeft w:val="0"/>
          <w:marRight w:val="0"/>
          <w:marTop w:val="0"/>
          <w:marBottom w:val="0"/>
          <w:divBdr>
            <w:top w:val="none" w:sz="0" w:space="0" w:color="auto"/>
            <w:left w:val="none" w:sz="0" w:space="0" w:color="auto"/>
            <w:bottom w:val="none" w:sz="0" w:space="0" w:color="auto"/>
            <w:right w:val="none" w:sz="0" w:space="0" w:color="auto"/>
          </w:divBdr>
        </w:div>
        <w:div w:id="2084915135">
          <w:marLeft w:val="0"/>
          <w:marRight w:val="0"/>
          <w:marTop w:val="0"/>
          <w:marBottom w:val="0"/>
          <w:divBdr>
            <w:top w:val="none" w:sz="0" w:space="0" w:color="auto"/>
            <w:left w:val="none" w:sz="0" w:space="0" w:color="auto"/>
            <w:bottom w:val="none" w:sz="0" w:space="0" w:color="auto"/>
            <w:right w:val="none" w:sz="0" w:space="0" w:color="auto"/>
          </w:divBdr>
        </w:div>
      </w:divsChild>
    </w:div>
    <w:div w:id="1060635187">
      <w:bodyDiv w:val="1"/>
      <w:marLeft w:val="0"/>
      <w:marRight w:val="0"/>
      <w:marTop w:val="0"/>
      <w:marBottom w:val="0"/>
      <w:divBdr>
        <w:top w:val="none" w:sz="0" w:space="0" w:color="auto"/>
        <w:left w:val="none" w:sz="0" w:space="0" w:color="auto"/>
        <w:bottom w:val="none" w:sz="0" w:space="0" w:color="auto"/>
        <w:right w:val="none" w:sz="0" w:space="0" w:color="auto"/>
      </w:divBdr>
      <w:divsChild>
        <w:div w:id="1255361217">
          <w:marLeft w:val="0"/>
          <w:marRight w:val="0"/>
          <w:marTop w:val="0"/>
          <w:marBottom w:val="0"/>
          <w:divBdr>
            <w:top w:val="none" w:sz="0" w:space="0" w:color="auto"/>
            <w:left w:val="none" w:sz="0" w:space="0" w:color="auto"/>
            <w:bottom w:val="none" w:sz="0" w:space="0" w:color="auto"/>
            <w:right w:val="none" w:sz="0" w:space="0" w:color="auto"/>
          </w:divBdr>
        </w:div>
        <w:div w:id="204998476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uqman106@yahoo.com" TargetMode="External"/><Relationship Id="rId9" Type="http://schemas.openxmlformats.org/officeDocument/2006/relationships/hyperlink" Target="http://papers.ssrn.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571913-DD46-F945-ABF3-717CC08C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11136</Words>
  <Characters>63478</Characters>
  <Application>Microsoft Macintosh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74466</CharactersWithSpaces>
  <SharedDoc>false</SharedDoc>
  <HLinks>
    <vt:vector size="6" baseType="variant">
      <vt:variant>
        <vt:i4>6553662</vt:i4>
      </vt:variant>
      <vt:variant>
        <vt:i4>0</vt:i4>
      </vt:variant>
      <vt:variant>
        <vt:i4>0</vt:i4>
      </vt:variant>
      <vt:variant>
        <vt:i4>5</vt:i4>
      </vt:variant>
      <vt:variant>
        <vt:lpwstr>http://papers.ssrn.com/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dc:creator>
  <cp:keywords/>
  <cp:lastModifiedBy>Microsoft Office User</cp:lastModifiedBy>
  <cp:revision>15</cp:revision>
  <cp:lastPrinted>2017-09-17T14:59:00Z</cp:lastPrinted>
  <dcterms:created xsi:type="dcterms:W3CDTF">2017-11-20T13:32:00Z</dcterms:created>
  <dcterms:modified xsi:type="dcterms:W3CDTF">2017-11-20T22:24:00Z</dcterms:modified>
</cp:coreProperties>
</file>