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FC2" w:rsidRPr="00412FC2" w:rsidRDefault="00412FC2" w:rsidP="00412FC2">
      <w:pPr>
        <w:spacing w:before="240"/>
        <w:ind w:right="-344"/>
        <w:jc w:val="center"/>
        <w:rPr>
          <w:rFonts w:ascii="Times New Roman" w:hAnsi="Times New Roman" w:cs="Times New Roman"/>
          <w:b/>
          <w:bCs/>
          <w:sz w:val="24"/>
          <w:szCs w:val="24"/>
          <w:lang w:val="en-GB"/>
        </w:rPr>
      </w:pPr>
      <w:r w:rsidRPr="00412FC2">
        <w:rPr>
          <w:rFonts w:ascii="Times New Roman" w:hAnsi="Times New Roman" w:cs="Times New Roman"/>
          <w:b/>
          <w:bCs/>
          <w:sz w:val="24"/>
          <w:szCs w:val="24"/>
          <w:lang w:val="en-GB"/>
        </w:rPr>
        <w:t>ECONOMETRIC ANALYSIS OF THE CAUSALITY BETWEEN ENERGY CONSUMPTION, CO</w:t>
      </w:r>
      <w:r w:rsidRPr="00412FC2">
        <w:rPr>
          <w:rFonts w:ascii="Times New Roman" w:hAnsi="Times New Roman" w:cs="Times New Roman"/>
          <w:b/>
          <w:bCs/>
          <w:sz w:val="24"/>
          <w:szCs w:val="24"/>
          <w:vertAlign w:val="subscript"/>
          <w:lang w:val="en-GB"/>
        </w:rPr>
        <w:t>2</w:t>
      </w:r>
      <w:r w:rsidRPr="00412FC2">
        <w:rPr>
          <w:rFonts w:ascii="Times New Roman" w:hAnsi="Times New Roman" w:cs="Times New Roman"/>
          <w:b/>
          <w:bCs/>
          <w:sz w:val="24"/>
          <w:szCs w:val="24"/>
          <w:lang w:val="en-GB"/>
        </w:rPr>
        <w:t xml:space="preserve"> EMISSIONS AND ECONOMIC GROWTH IN MALAYSIAN INDUSTRIAL SECTOR</w:t>
      </w:r>
    </w:p>
    <w:p w:rsidR="00412FC2" w:rsidRPr="00412FC2" w:rsidRDefault="00412FC2" w:rsidP="00412FC2">
      <w:pPr>
        <w:spacing w:before="240"/>
        <w:ind w:right="-344"/>
        <w:jc w:val="center"/>
        <w:rPr>
          <w:rFonts w:ascii="Times New Roman" w:hAnsi="Times New Roman" w:cs="Times New Roman"/>
          <w:b/>
          <w:bCs/>
          <w:sz w:val="24"/>
          <w:szCs w:val="24"/>
          <w:lang w:val="en-GB"/>
        </w:rPr>
      </w:pPr>
      <w:r w:rsidRPr="00412FC2">
        <w:rPr>
          <w:rFonts w:ascii="Times New Roman" w:hAnsi="Times New Roman" w:cs="Times New Roman"/>
          <w:b/>
          <w:bCs/>
          <w:sz w:val="24"/>
          <w:szCs w:val="24"/>
          <w:lang w:val="en-GB"/>
        </w:rPr>
        <w:t>Chiang-</w:t>
      </w:r>
      <w:proofErr w:type="spellStart"/>
      <w:r w:rsidRPr="00412FC2">
        <w:rPr>
          <w:rFonts w:ascii="Times New Roman" w:hAnsi="Times New Roman" w:cs="Times New Roman"/>
          <w:b/>
          <w:bCs/>
          <w:sz w:val="24"/>
          <w:szCs w:val="24"/>
          <w:lang w:val="en-GB"/>
        </w:rPr>
        <w:t>Ching</w:t>
      </w:r>
      <w:proofErr w:type="spellEnd"/>
      <w:r w:rsidRPr="00412FC2">
        <w:rPr>
          <w:rFonts w:ascii="Times New Roman" w:hAnsi="Times New Roman" w:cs="Times New Roman"/>
          <w:b/>
          <w:bCs/>
          <w:sz w:val="24"/>
          <w:szCs w:val="24"/>
          <w:lang w:val="en-GB"/>
        </w:rPr>
        <w:t xml:space="preserve"> </w:t>
      </w:r>
      <w:proofErr w:type="spellStart"/>
      <w:r w:rsidRPr="00412FC2">
        <w:rPr>
          <w:rFonts w:ascii="Times New Roman" w:hAnsi="Times New Roman" w:cs="Times New Roman"/>
          <w:b/>
          <w:bCs/>
          <w:sz w:val="24"/>
          <w:szCs w:val="24"/>
          <w:lang w:val="en-GB"/>
        </w:rPr>
        <w:t>TAN</w:t>
      </w:r>
      <w:r w:rsidRPr="00412FC2">
        <w:rPr>
          <w:rFonts w:ascii="Times New Roman" w:hAnsi="Times New Roman" w:cs="Times New Roman"/>
          <w:b/>
          <w:bCs/>
          <w:sz w:val="24"/>
          <w:szCs w:val="24"/>
          <w:vertAlign w:val="superscript"/>
          <w:lang w:val="en-GB"/>
        </w:rPr>
        <w:t>a</w:t>
      </w:r>
      <w:proofErr w:type="gramStart"/>
      <w:r w:rsidRPr="00412FC2">
        <w:rPr>
          <w:rFonts w:ascii="Times New Roman" w:hAnsi="Times New Roman" w:cs="Times New Roman"/>
          <w:b/>
          <w:bCs/>
          <w:sz w:val="24"/>
          <w:szCs w:val="24"/>
          <w:vertAlign w:val="superscript"/>
          <w:lang w:val="en-GB"/>
        </w:rPr>
        <w:t>,b</w:t>
      </w:r>
      <w:proofErr w:type="spellEnd"/>
      <w:proofErr w:type="gramEnd"/>
      <w:r w:rsidRPr="00412FC2">
        <w:rPr>
          <w:rStyle w:val="FootnoteReference"/>
          <w:rFonts w:ascii="Times New Roman" w:hAnsi="Times New Roman" w:cs="Times New Roman"/>
          <w:b/>
          <w:bCs/>
          <w:sz w:val="24"/>
          <w:szCs w:val="24"/>
          <w:lang w:val="en-GB"/>
        </w:rPr>
        <w:footnoteReference w:id="1"/>
      </w:r>
      <w:r w:rsidRPr="00412FC2">
        <w:rPr>
          <w:rFonts w:ascii="Times New Roman" w:hAnsi="Times New Roman" w:cs="Times New Roman"/>
          <w:b/>
          <w:bCs/>
          <w:sz w:val="24"/>
          <w:szCs w:val="24"/>
          <w:lang w:val="en-GB"/>
        </w:rPr>
        <w:t xml:space="preserve"> and </w:t>
      </w:r>
      <w:r w:rsidRPr="00412FC2">
        <w:rPr>
          <w:rFonts w:ascii="Times New Roman" w:hAnsi="Times New Roman" w:cs="Times New Roman"/>
          <w:b/>
          <w:bCs/>
          <w:noProof/>
          <w:sz w:val="24"/>
          <w:szCs w:val="24"/>
          <w:lang w:val="en-GB"/>
        </w:rPr>
        <w:t>Syvester</w:t>
      </w:r>
      <w:r w:rsidRPr="00412FC2">
        <w:rPr>
          <w:rFonts w:ascii="Times New Roman" w:hAnsi="Times New Roman" w:cs="Times New Roman"/>
          <w:b/>
          <w:bCs/>
          <w:sz w:val="24"/>
          <w:szCs w:val="24"/>
          <w:lang w:val="en-GB"/>
        </w:rPr>
        <w:t xml:space="preserve"> </w:t>
      </w:r>
      <w:proofErr w:type="spellStart"/>
      <w:r w:rsidRPr="00412FC2">
        <w:rPr>
          <w:rFonts w:ascii="Times New Roman" w:hAnsi="Times New Roman" w:cs="Times New Roman"/>
          <w:b/>
          <w:bCs/>
          <w:sz w:val="24"/>
          <w:szCs w:val="24"/>
          <w:lang w:val="en-GB"/>
        </w:rPr>
        <w:t>TAN</w:t>
      </w:r>
      <w:r w:rsidRPr="00412FC2">
        <w:rPr>
          <w:rFonts w:ascii="Times New Roman" w:hAnsi="Times New Roman" w:cs="Times New Roman"/>
          <w:b/>
          <w:bCs/>
          <w:sz w:val="24"/>
          <w:szCs w:val="24"/>
          <w:vertAlign w:val="superscript"/>
          <w:lang w:val="en-GB"/>
        </w:rPr>
        <w:t>b</w:t>
      </w:r>
      <w:proofErr w:type="spellEnd"/>
    </w:p>
    <w:p w:rsidR="00412FC2" w:rsidRPr="00412FC2" w:rsidRDefault="00412FC2" w:rsidP="00412FC2">
      <w:pPr>
        <w:pStyle w:val="Els-Affiliation"/>
        <w:spacing w:line="240" w:lineRule="auto"/>
        <w:rPr>
          <w:noProof w:val="0"/>
          <w:sz w:val="24"/>
          <w:szCs w:val="24"/>
        </w:rPr>
      </w:pPr>
      <w:proofErr w:type="spellStart"/>
      <w:proofErr w:type="gramStart"/>
      <w:r w:rsidRPr="00412FC2">
        <w:rPr>
          <w:noProof w:val="0"/>
          <w:sz w:val="24"/>
          <w:szCs w:val="24"/>
          <w:vertAlign w:val="superscript"/>
        </w:rPr>
        <w:t>a</w:t>
      </w:r>
      <w:r w:rsidRPr="00412FC2">
        <w:rPr>
          <w:noProof w:val="0"/>
          <w:sz w:val="24"/>
          <w:szCs w:val="24"/>
        </w:rPr>
        <w:t>School</w:t>
      </w:r>
      <w:proofErr w:type="spellEnd"/>
      <w:proofErr w:type="gramEnd"/>
      <w:r w:rsidRPr="00412FC2">
        <w:rPr>
          <w:noProof w:val="0"/>
          <w:sz w:val="24"/>
          <w:szCs w:val="24"/>
        </w:rPr>
        <w:t xml:space="preserve"> of Business and Management, University College of Technology Sarawak, 96000 </w:t>
      </w:r>
      <w:proofErr w:type="spellStart"/>
      <w:r w:rsidRPr="00412FC2">
        <w:rPr>
          <w:noProof w:val="0"/>
          <w:sz w:val="24"/>
          <w:szCs w:val="24"/>
        </w:rPr>
        <w:t>Sibu</w:t>
      </w:r>
      <w:proofErr w:type="spellEnd"/>
      <w:r w:rsidRPr="00412FC2">
        <w:rPr>
          <w:noProof w:val="0"/>
          <w:sz w:val="24"/>
          <w:szCs w:val="24"/>
        </w:rPr>
        <w:t>, Sarawak, Malaysia.</w:t>
      </w:r>
      <w:bookmarkStart w:id="0" w:name="_GoBack"/>
      <w:bookmarkEnd w:id="0"/>
    </w:p>
    <w:p w:rsidR="00412FC2" w:rsidRPr="00412FC2" w:rsidRDefault="00412FC2" w:rsidP="00412FC2">
      <w:pPr>
        <w:jc w:val="center"/>
        <w:rPr>
          <w:rFonts w:ascii="Times New Roman" w:hAnsi="Times New Roman" w:cs="Times New Roman"/>
          <w:b/>
          <w:i/>
          <w:sz w:val="24"/>
          <w:szCs w:val="24"/>
        </w:rPr>
      </w:pPr>
      <w:proofErr w:type="spellStart"/>
      <w:proofErr w:type="gramStart"/>
      <w:r w:rsidRPr="00412FC2">
        <w:rPr>
          <w:rFonts w:ascii="Times New Roman" w:hAnsi="Times New Roman" w:cs="Times New Roman"/>
          <w:i/>
          <w:sz w:val="24"/>
          <w:szCs w:val="24"/>
          <w:vertAlign w:val="superscript"/>
        </w:rPr>
        <w:t>b</w:t>
      </w:r>
      <w:r w:rsidRPr="00412FC2">
        <w:rPr>
          <w:rFonts w:ascii="Times New Roman" w:hAnsi="Times New Roman" w:cs="Times New Roman"/>
          <w:i/>
          <w:sz w:val="24"/>
          <w:szCs w:val="24"/>
        </w:rPr>
        <w:t>Department</w:t>
      </w:r>
      <w:proofErr w:type="spellEnd"/>
      <w:proofErr w:type="gramEnd"/>
      <w:r w:rsidRPr="00412FC2">
        <w:rPr>
          <w:rFonts w:ascii="Times New Roman" w:hAnsi="Times New Roman" w:cs="Times New Roman"/>
          <w:i/>
          <w:sz w:val="24"/>
          <w:szCs w:val="24"/>
        </w:rPr>
        <w:t xml:space="preserve"> of Economics, Faculty of Economics and Business, </w:t>
      </w:r>
      <w:proofErr w:type="spellStart"/>
      <w:r w:rsidRPr="00412FC2">
        <w:rPr>
          <w:rFonts w:ascii="Times New Roman" w:hAnsi="Times New Roman" w:cs="Times New Roman"/>
          <w:i/>
          <w:sz w:val="24"/>
          <w:szCs w:val="24"/>
        </w:rPr>
        <w:t>Universiti</w:t>
      </w:r>
      <w:proofErr w:type="spellEnd"/>
      <w:r w:rsidRPr="00412FC2">
        <w:rPr>
          <w:rFonts w:ascii="Times New Roman" w:hAnsi="Times New Roman" w:cs="Times New Roman"/>
          <w:i/>
          <w:sz w:val="24"/>
          <w:szCs w:val="24"/>
        </w:rPr>
        <w:t xml:space="preserve"> Malaysia Sarawak, 94300 Kota </w:t>
      </w:r>
      <w:proofErr w:type="spellStart"/>
      <w:r w:rsidRPr="00412FC2">
        <w:rPr>
          <w:rFonts w:ascii="Times New Roman" w:hAnsi="Times New Roman" w:cs="Times New Roman"/>
          <w:i/>
          <w:sz w:val="24"/>
          <w:szCs w:val="24"/>
        </w:rPr>
        <w:t>Samarahan</w:t>
      </w:r>
      <w:proofErr w:type="spellEnd"/>
      <w:r w:rsidRPr="00412FC2">
        <w:rPr>
          <w:rFonts w:ascii="Times New Roman" w:hAnsi="Times New Roman" w:cs="Times New Roman"/>
          <w:i/>
          <w:sz w:val="24"/>
          <w:szCs w:val="24"/>
        </w:rPr>
        <w:t>, Malaysia</w:t>
      </w:r>
    </w:p>
    <w:p w:rsidR="00412FC2" w:rsidRDefault="00412FC2" w:rsidP="00412FC2">
      <w:pPr>
        <w:rPr>
          <w:rFonts w:ascii="Times New Roman" w:hAnsi="Times New Roman" w:cs="Times New Roman"/>
          <w:b/>
          <w:sz w:val="24"/>
        </w:rPr>
      </w:pPr>
    </w:p>
    <w:p w:rsidR="00412FC2" w:rsidRDefault="00412FC2" w:rsidP="00412FC2">
      <w:pPr>
        <w:rPr>
          <w:rFonts w:ascii="Times New Roman" w:hAnsi="Times New Roman" w:cs="Times New Roman"/>
          <w:b/>
          <w:sz w:val="24"/>
        </w:rPr>
      </w:pPr>
    </w:p>
    <w:p w:rsidR="00412FC2" w:rsidRPr="00BA22F9" w:rsidRDefault="00412FC2" w:rsidP="00412FC2">
      <w:pPr>
        <w:rPr>
          <w:rFonts w:ascii="Times New Roman" w:hAnsi="Times New Roman" w:cs="Times New Roman"/>
          <w:b/>
          <w:sz w:val="24"/>
        </w:rPr>
      </w:pPr>
      <w:r w:rsidRPr="00BA22F9">
        <w:rPr>
          <w:rFonts w:ascii="Times New Roman" w:hAnsi="Times New Roman" w:cs="Times New Roman"/>
          <w:b/>
          <w:sz w:val="24"/>
        </w:rPr>
        <w:t>Unit Root Test</w:t>
      </w:r>
      <w:r>
        <w:rPr>
          <w:rFonts w:ascii="Times New Roman" w:hAnsi="Times New Roman" w:cs="Times New Roman"/>
          <w:b/>
          <w:sz w:val="24"/>
        </w:rPr>
        <w:t xml:space="preserve"> Results</w:t>
      </w:r>
    </w:p>
    <w:p w:rsidR="00412FC2" w:rsidRDefault="00412FC2" w:rsidP="00412FC2">
      <w:pPr>
        <w:rPr>
          <w:rFonts w:ascii="Times New Roman" w:hAnsi="Times New Roman" w:cs="Times New Roman"/>
          <w:sz w:val="24"/>
        </w:rPr>
      </w:pPr>
      <w:r w:rsidRPr="009872E0">
        <w:rPr>
          <w:rFonts w:ascii="Times New Roman" w:hAnsi="Times New Roman" w:cs="Times New Roman"/>
          <w:sz w:val="24"/>
        </w:rPr>
        <w:t>ADF</w:t>
      </w:r>
      <w:r>
        <w:rPr>
          <w:rFonts w:ascii="Times New Roman" w:hAnsi="Times New Roman" w:cs="Times New Roman"/>
          <w:sz w:val="24"/>
        </w:rPr>
        <w:t xml:space="preserve"> &amp; KPSS</w:t>
      </w:r>
    </w:p>
    <w:tbl>
      <w:tblPr>
        <w:tblW w:w="5000" w:type="pct"/>
        <w:tblLook w:val="04A0" w:firstRow="1" w:lastRow="0" w:firstColumn="1" w:lastColumn="0" w:noHBand="0" w:noVBand="1"/>
      </w:tblPr>
      <w:tblGrid>
        <w:gridCol w:w="1271"/>
        <w:gridCol w:w="1565"/>
        <w:gridCol w:w="1749"/>
        <w:gridCol w:w="964"/>
        <w:gridCol w:w="1557"/>
        <w:gridCol w:w="1921"/>
      </w:tblGrid>
      <w:tr w:rsidR="00412FC2" w:rsidRPr="009872E0" w:rsidTr="00FF216E">
        <w:trPr>
          <w:trHeight w:val="300"/>
        </w:trPr>
        <w:tc>
          <w:tcPr>
            <w:tcW w:w="688" w:type="pct"/>
            <w:tcBorders>
              <w:top w:val="single" w:sz="4" w:space="0" w:color="auto"/>
              <w:left w:val="nil"/>
              <w:bottom w:val="nil"/>
              <w:right w:val="nil"/>
            </w:tcBorders>
            <w:shd w:val="clear" w:color="auto" w:fill="auto"/>
            <w:vAlign w:val="bottom"/>
            <w:hideMark/>
          </w:tcPr>
          <w:p w:rsidR="00412FC2" w:rsidRPr="009872E0" w:rsidRDefault="00412FC2" w:rsidP="00FF216E">
            <w:pPr>
              <w:spacing w:after="0"/>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 </w:t>
            </w:r>
          </w:p>
        </w:tc>
        <w:tc>
          <w:tcPr>
            <w:tcW w:w="1856" w:type="pct"/>
            <w:gridSpan w:val="2"/>
            <w:tcBorders>
              <w:top w:val="single" w:sz="4" w:space="0" w:color="auto"/>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b/>
                <w:bCs/>
                <w:color w:val="000000"/>
                <w:sz w:val="24"/>
                <w:szCs w:val="24"/>
                <w:lang w:val="en-GB"/>
              </w:rPr>
            </w:pPr>
            <w:r w:rsidRPr="009872E0">
              <w:rPr>
                <w:rFonts w:ascii="Times New Roman" w:hAnsi="Times New Roman" w:cs="Times New Roman"/>
                <w:b/>
                <w:bCs/>
                <w:color w:val="000000"/>
                <w:sz w:val="24"/>
                <w:szCs w:val="24"/>
                <w:lang w:val="en-GB"/>
              </w:rPr>
              <w:t>ADF</w:t>
            </w:r>
          </w:p>
        </w:tc>
        <w:tc>
          <w:tcPr>
            <w:tcW w:w="498" w:type="pct"/>
            <w:tcBorders>
              <w:top w:val="single" w:sz="4" w:space="0" w:color="auto"/>
              <w:left w:val="nil"/>
              <w:bottom w:val="single" w:sz="4" w:space="0" w:color="auto"/>
              <w:right w:val="nil"/>
            </w:tcBorders>
            <w:shd w:val="clear" w:color="auto" w:fill="auto"/>
            <w:vAlign w:val="bottom"/>
            <w:hideMark/>
          </w:tcPr>
          <w:p w:rsidR="00412FC2" w:rsidRPr="009872E0" w:rsidRDefault="00412FC2" w:rsidP="00FF216E">
            <w:pPr>
              <w:spacing w:after="0"/>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 </w:t>
            </w:r>
          </w:p>
        </w:tc>
        <w:tc>
          <w:tcPr>
            <w:tcW w:w="1958" w:type="pct"/>
            <w:gridSpan w:val="2"/>
            <w:tcBorders>
              <w:top w:val="single" w:sz="4" w:space="0" w:color="auto"/>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b/>
                <w:bCs/>
                <w:color w:val="000000"/>
                <w:sz w:val="24"/>
                <w:szCs w:val="24"/>
                <w:lang w:val="en-GB"/>
              </w:rPr>
            </w:pPr>
            <w:r w:rsidRPr="009872E0">
              <w:rPr>
                <w:rFonts w:ascii="Times New Roman" w:hAnsi="Times New Roman" w:cs="Times New Roman"/>
                <w:b/>
                <w:bCs/>
                <w:color w:val="000000"/>
                <w:sz w:val="24"/>
                <w:szCs w:val="24"/>
                <w:lang w:val="en-GB"/>
              </w:rPr>
              <w:t>KPSS</w:t>
            </w:r>
          </w:p>
        </w:tc>
      </w:tr>
      <w:tr w:rsidR="00412FC2" w:rsidRPr="009872E0" w:rsidTr="00FF216E">
        <w:trPr>
          <w:trHeight w:val="300"/>
        </w:trPr>
        <w:tc>
          <w:tcPr>
            <w:tcW w:w="688"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 </w:t>
            </w:r>
          </w:p>
        </w:tc>
        <w:tc>
          <w:tcPr>
            <w:tcW w:w="871"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b/>
                <w:bCs/>
                <w:color w:val="000000"/>
                <w:sz w:val="24"/>
                <w:szCs w:val="24"/>
                <w:lang w:val="en-GB"/>
              </w:rPr>
            </w:pPr>
            <w:r w:rsidRPr="009872E0">
              <w:rPr>
                <w:rFonts w:ascii="Times New Roman" w:hAnsi="Times New Roman" w:cs="Times New Roman"/>
                <w:b/>
                <w:bCs/>
                <w:color w:val="000000"/>
                <w:sz w:val="24"/>
                <w:szCs w:val="24"/>
                <w:lang w:val="en-GB"/>
              </w:rPr>
              <w:t>Intercept</w:t>
            </w:r>
          </w:p>
        </w:tc>
        <w:tc>
          <w:tcPr>
            <w:tcW w:w="985"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b/>
                <w:bCs/>
                <w:color w:val="000000"/>
                <w:sz w:val="24"/>
                <w:szCs w:val="24"/>
                <w:lang w:val="en-GB"/>
              </w:rPr>
            </w:pPr>
            <w:r w:rsidRPr="009872E0">
              <w:rPr>
                <w:rFonts w:ascii="Times New Roman" w:hAnsi="Times New Roman" w:cs="Times New Roman"/>
                <w:b/>
                <w:bCs/>
                <w:color w:val="000000"/>
                <w:sz w:val="24"/>
                <w:szCs w:val="24"/>
                <w:lang w:val="en-GB"/>
              </w:rPr>
              <w:t>Trend and Intercept</w:t>
            </w:r>
          </w:p>
        </w:tc>
        <w:tc>
          <w:tcPr>
            <w:tcW w:w="498"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 </w:t>
            </w:r>
          </w:p>
        </w:tc>
        <w:tc>
          <w:tcPr>
            <w:tcW w:w="866"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b/>
                <w:bCs/>
                <w:color w:val="000000"/>
                <w:sz w:val="24"/>
                <w:szCs w:val="24"/>
                <w:lang w:val="en-GB"/>
              </w:rPr>
            </w:pPr>
            <w:r w:rsidRPr="009872E0">
              <w:rPr>
                <w:rFonts w:ascii="Times New Roman" w:hAnsi="Times New Roman" w:cs="Times New Roman"/>
                <w:b/>
                <w:bCs/>
                <w:color w:val="000000"/>
                <w:sz w:val="24"/>
                <w:szCs w:val="24"/>
                <w:lang w:val="en-GB"/>
              </w:rPr>
              <w:t>Intercept</w:t>
            </w:r>
          </w:p>
        </w:tc>
        <w:tc>
          <w:tcPr>
            <w:tcW w:w="1092"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b/>
                <w:bCs/>
                <w:color w:val="000000"/>
                <w:sz w:val="24"/>
                <w:szCs w:val="24"/>
                <w:lang w:val="en-GB"/>
              </w:rPr>
            </w:pPr>
            <w:r w:rsidRPr="009872E0">
              <w:rPr>
                <w:rFonts w:ascii="Times New Roman" w:hAnsi="Times New Roman" w:cs="Times New Roman"/>
                <w:b/>
                <w:bCs/>
                <w:color w:val="000000"/>
                <w:sz w:val="24"/>
                <w:szCs w:val="24"/>
                <w:lang w:val="en-GB"/>
              </w:rPr>
              <w:t>Trend and Intercept</w:t>
            </w:r>
          </w:p>
        </w:tc>
      </w:tr>
      <w:tr w:rsidR="00412FC2" w:rsidRPr="009872E0" w:rsidTr="00FF216E">
        <w:trPr>
          <w:trHeight w:val="300"/>
        </w:trPr>
        <w:tc>
          <w:tcPr>
            <w:tcW w:w="688"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 </w:t>
            </w:r>
          </w:p>
        </w:tc>
        <w:tc>
          <w:tcPr>
            <w:tcW w:w="4312" w:type="pct"/>
            <w:gridSpan w:val="5"/>
            <w:tcBorders>
              <w:top w:val="single" w:sz="4" w:space="0" w:color="auto"/>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b/>
                <w:bCs/>
                <w:color w:val="000000"/>
                <w:sz w:val="24"/>
                <w:szCs w:val="24"/>
                <w:lang w:val="en-GB"/>
              </w:rPr>
            </w:pPr>
            <w:r w:rsidRPr="009872E0">
              <w:rPr>
                <w:rFonts w:ascii="Times New Roman" w:hAnsi="Times New Roman" w:cs="Times New Roman"/>
                <w:b/>
                <w:bCs/>
                <w:color w:val="000000"/>
                <w:sz w:val="24"/>
                <w:szCs w:val="24"/>
                <w:lang w:val="en-GB"/>
              </w:rPr>
              <w:t>Level</w:t>
            </w:r>
          </w:p>
        </w:tc>
      </w:tr>
      <w:tr w:rsidR="00412FC2" w:rsidRPr="009872E0" w:rsidTr="00FF216E">
        <w:trPr>
          <w:trHeight w:val="300"/>
        </w:trPr>
        <w:tc>
          <w:tcPr>
            <w:tcW w:w="688" w:type="pct"/>
            <w:tcBorders>
              <w:top w:val="nil"/>
              <w:left w:val="nil"/>
              <w:bottom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Y</w:t>
            </w:r>
          </w:p>
        </w:tc>
        <w:tc>
          <w:tcPr>
            <w:tcW w:w="871" w:type="pct"/>
            <w:tcBorders>
              <w:top w:val="nil"/>
              <w:left w:val="nil"/>
              <w:bottom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-1.8127[0]</w:t>
            </w:r>
          </w:p>
        </w:tc>
        <w:tc>
          <w:tcPr>
            <w:tcW w:w="985" w:type="pct"/>
            <w:tcBorders>
              <w:top w:val="nil"/>
              <w:left w:val="nil"/>
              <w:bottom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0.7899</w:t>
            </w:r>
            <w:r w:rsidRPr="009872E0">
              <w:rPr>
                <w:rFonts w:ascii="Times New Roman" w:hAnsi="Times New Roman" w:cs="Times New Roman"/>
                <w:color w:val="000000"/>
                <w:sz w:val="24"/>
                <w:szCs w:val="24"/>
                <w:lang w:val="en-GB"/>
              </w:rPr>
              <w:t>[0]</w:t>
            </w:r>
          </w:p>
        </w:tc>
        <w:tc>
          <w:tcPr>
            <w:tcW w:w="498" w:type="pct"/>
            <w:tcBorders>
              <w:top w:val="nil"/>
              <w:left w:val="nil"/>
              <w:bottom w:val="nil"/>
              <w:right w:val="nil"/>
            </w:tcBorders>
            <w:shd w:val="clear" w:color="auto" w:fill="auto"/>
            <w:vAlign w:val="bottom"/>
            <w:hideMark/>
          </w:tcPr>
          <w:p w:rsidR="00412FC2" w:rsidRPr="009872E0" w:rsidRDefault="00412FC2" w:rsidP="00FF216E">
            <w:pPr>
              <w:spacing w:after="0"/>
              <w:rPr>
                <w:rFonts w:ascii="Times New Roman" w:hAnsi="Times New Roman" w:cs="Times New Roman"/>
                <w:color w:val="000000"/>
                <w:sz w:val="24"/>
                <w:szCs w:val="24"/>
                <w:lang w:val="en-GB"/>
              </w:rPr>
            </w:pPr>
          </w:p>
        </w:tc>
        <w:tc>
          <w:tcPr>
            <w:tcW w:w="866" w:type="pct"/>
            <w:tcBorders>
              <w:top w:val="nil"/>
              <w:left w:val="nil"/>
              <w:bottom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0.6746[5]**</w:t>
            </w:r>
          </w:p>
        </w:tc>
        <w:tc>
          <w:tcPr>
            <w:tcW w:w="1092" w:type="pct"/>
            <w:tcBorders>
              <w:top w:val="nil"/>
              <w:left w:val="nil"/>
              <w:bottom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0.</w:t>
            </w:r>
            <w:r>
              <w:rPr>
                <w:rFonts w:ascii="Times New Roman" w:hAnsi="Times New Roman" w:cs="Times New Roman"/>
                <w:color w:val="000000"/>
                <w:sz w:val="24"/>
                <w:szCs w:val="24"/>
                <w:lang w:val="en-GB"/>
              </w:rPr>
              <w:t>1896</w:t>
            </w:r>
            <w:r w:rsidRPr="009872E0">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4</w:t>
            </w:r>
            <w:r w:rsidRPr="009872E0">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w:t>
            </w:r>
          </w:p>
        </w:tc>
      </w:tr>
      <w:tr w:rsidR="00412FC2" w:rsidRPr="009872E0" w:rsidTr="00FF216E">
        <w:trPr>
          <w:trHeight w:val="300"/>
        </w:trPr>
        <w:tc>
          <w:tcPr>
            <w:tcW w:w="688" w:type="pct"/>
            <w:tcBorders>
              <w:top w:val="nil"/>
              <w:left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EC</w:t>
            </w:r>
          </w:p>
        </w:tc>
        <w:tc>
          <w:tcPr>
            <w:tcW w:w="871" w:type="pct"/>
            <w:tcBorders>
              <w:top w:val="nil"/>
              <w:left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-2.0222[0]</w:t>
            </w:r>
          </w:p>
        </w:tc>
        <w:tc>
          <w:tcPr>
            <w:tcW w:w="985" w:type="pct"/>
            <w:tcBorders>
              <w:top w:val="nil"/>
              <w:left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0.0311</w:t>
            </w:r>
            <w:r w:rsidRPr="009872E0">
              <w:rPr>
                <w:rFonts w:ascii="Times New Roman" w:hAnsi="Times New Roman" w:cs="Times New Roman"/>
                <w:color w:val="000000"/>
                <w:sz w:val="24"/>
                <w:szCs w:val="24"/>
                <w:lang w:val="en-GB"/>
              </w:rPr>
              <w:t>[0]</w:t>
            </w:r>
          </w:p>
        </w:tc>
        <w:tc>
          <w:tcPr>
            <w:tcW w:w="498" w:type="pct"/>
            <w:tcBorders>
              <w:top w:val="nil"/>
              <w:left w:val="nil"/>
              <w:right w:val="nil"/>
            </w:tcBorders>
            <w:shd w:val="clear" w:color="auto" w:fill="auto"/>
            <w:vAlign w:val="bottom"/>
            <w:hideMark/>
          </w:tcPr>
          <w:p w:rsidR="00412FC2" w:rsidRPr="009872E0" w:rsidRDefault="00412FC2" w:rsidP="00FF216E">
            <w:pPr>
              <w:spacing w:after="0"/>
              <w:rPr>
                <w:rFonts w:ascii="Times New Roman" w:hAnsi="Times New Roman" w:cs="Times New Roman"/>
                <w:color w:val="000000"/>
                <w:sz w:val="24"/>
                <w:szCs w:val="24"/>
                <w:lang w:val="en-GB"/>
              </w:rPr>
            </w:pPr>
          </w:p>
        </w:tc>
        <w:tc>
          <w:tcPr>
            <w:tcW w:w="866" w:type="pct"/>
            <w:tcBorders>
              <w:top w:val="nil"/>
              <w:left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0.6585[5]**</w:t>
            </w:r>
          </w:p>
        </w:tc>
        <w:tc>
          <w:tcPr>
            <w:tcW w:w="1092" w:type="pct"/>
            <w:tcBorders>
              <w:top w:val="nil"/>
              <w:left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0.18</w:t>
            </w:r>
            <w:r>
              <w:rPr>
                <w:rFonts w:ascii="Times New Roman" w:hAnsi="Times New Roman" w:cs="Times New Roman"/>
                <w:color w:val="000000"/>
                <w:sz w:val="24"/>
                <w:szCs w:val="24"/>
                <w:lang w:val="en-GB"/>
              </w:rPr>
              <w:t>97[4</w:t>
            </w:r>
            <w:r w:rsidRPr="009872E0">
              <w:rPr>
                <w:rFonts w:ascii="Times New Roman" w:hAnsi="Times New Roman" w:cs="Times New Roman"/>
                <w:color w:val="000000"/>
                <w:sz w:val="24"/>
                <w:szCs w:val="24"/>
                <w:lang w:val="en-GB"/>
              </w:rPr>
              <w:t>]**</w:t>
            </w:r>
          </w:p>
        </w:tc>
      </w:tr>
      <w:tr w:rsidR="00412FC2" w:rsidRPr="009872E0" w:rsidTr="00FF216E">
        <w:trPr>
          <w:trHeight w:val="300"/>
        </w:trPr>
        <w:tc>
          <w:tcPr>
            <w:tcW w:w="688"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CO2</w:t>
            </w:r>
          </w:p>
        </w:tc>
        <w:tc>
          <w:tcPr>
            <w:tcW w:w="871"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1.8824</w:t>
            </w:r>
            <w:r w:rsidRPr="009872E0">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0</w:t>
            </w:r>
            <w:r w:rsidRPr="009872E0">
              <w:rPr>
                <w:rFonts w:ascii="Times New Roman" w:hAnsi="Times New Roman" w:cs="Times New Roman"/>
                <w:color w:val="000000"/>
                <w:sz w:val="24"/>
                <w:szCs w:val="24"/>
                <w:lang w:val="en-GB"/>
              </w:rPr>
              <w:t>]</w:t>
            </w:r>
          </w:p>
        </w:tc>
        <w:tc>
          <w:tcPr>
            <w:tcW w:w="985"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1.9439[0]</w:t>
            </w:r>
          </w:p>
        </w:tc>
        <w:tc>
          <w:tcPr>
            <w:tcW w:w="498"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rPr>
                <w:rFonts w:ascii="Times New Roman" w:hAnsi="Times New Roman" w:cs="Times New Roman"/>
                <w:color w:val="000000"/>
                <w:sz w:val="24"/>
                <w:szCs w:val="24"/>
                <w:lang w:val="en-GB"/>
              </w:rPr>
            </w:pPr>
          </w:p>
        </w:tc>
        <w:tc>
          <w:tcPr>
            <w:tcW w:w="866"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0.</w:t>
            </w:r>
            <w:r>
              <w:rPr>
                <w:rFonts w:ascii="Times New Roman" w:hAnsi="Times New Roman" w:cs="Times New Roman"/>
                <w:color w:val="000000"/>
                <w:sz w:val="24"/>
                <w:szCs w:val="24"/>
                <w:lang w:val="en-GB"/>
              </w:rPr>
              <w:t>5600</w:t>
            </w:r>
            <w:r w:rsidRPr="009872E0">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5</w:t>
            </w:r>
            <w:r w:rsidRPr="009872E0">
              <w:rPr>
                <w:rFonts w:ascii="Times New Roman" w:hAnsi="Times New Roman" w:cs="Times New Roman"/>
                <w:color w:val="000000"/>
                <w:sz w:val="24"/>
                <w:szCs w:val="24"/>
                <w:lang w:val="en-GB"/>
              </w:rPr>
              <w:t>]**</w:t>
            </w:r>
          </w:p>
        </w:tc>
        <w:tc>
          <w:tcPr>
            <w:tcW w:w="1092"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0.1723[4]**</w:t>
            </w:r>
          </w:p>
        </w:tc>
      </w:tr>
      <w:tr w:rsidR="00412FC2" w:rsidRPr="009872E0" w:rsidTr="00FF216E">
        <w:trPr>
          <w:trHeight w:val="300"/>
        </w:trPr>
        <w:tc>
          <w:tcPr>
            <w:tcW w:w="688" w:type="pct"/>
            <w:tcBorders>
              <w:top w:val="single" w:sz="4" w:space="0" w:color="auto"/>
              <w:left w:val="nil"/>
              <w:bottom w:val="single" w:sz="4" w:space="0" w:color="auto"/>
              <w:right w:val="nil"/>
            </w:tcBorders>
            <w:shd w:val="clear" w:color="auto" w:fill="auto"/>
            <w:vAlign w:val="bottom"/>
            <w:hideMark/>
          </w:tcPr>
          <w:p w:rsidR="00412FC2" w:rsidRPr="009872E0" w:rsidRDefault="00412FC2" w:rsidP="00FF216E">
            <w:pPr>
              <w:spacing w:after="0"/>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 </w:t>
            </w:r>
          </w:p>
        </w:tc>
        <w:tc>
          <w:tcPr>
            <w:tcW w:w="4312" w:type="pct"/>
            <w:gridSpan w:val="5"/>
            <w:tcBorders>
              <w:top w:val="single" w:sz="4" w:space="0" w:color="auto"/>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b/>
                <w:bCs/>
                <w:color w:val="000000"/>
                <w:sz w:val="24"/>
                <w:szCs w:val="24"/>
                <w:lang w:val="en-GB"/>
              </w:rPr>
            </w:pPr>
            <w:r w:rsidRPr="009872E0">
              <w:rPr>
                <w:rFonts w:ascii="Times New Roman" w:hAnsi="Times New Roman" w:cs="Times New Roman"/>
                <w:b/>
                <w:bCs/>
                <w:color w:val="000000"/>
                <w:sz w:val="24"/>
                <w:szCs w:val="24"/>
                <w:lang w:val="en-GB"/>
              </w:rPr>
              <w:t>First Differences</w:t>
            </w:r>
          </w:p>
        </w:tc>
      </w:tr>
      <w:tr w:rsidR="00412FC2" w:rsidRPr="009872E0" w:rsidTr="00FF216E">
        <w:trPr>
          <w:trHeight w:val="300"/>
        </w:trPr>
        <w:tc>
          <w:tcPr>
            <w:tcW w:w="688" w:type="pct"/>
            <w:tcBorders>
              <w:top w:val="nil"/>
              <w:left w:val="nil"/>
              <w:bottom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bCs/>
                <w:color w:val="000000"/>
                <w:sz w:val="24"/>
                <w:szCs w:val="24"/>
                <w:lang w:val="en-GB"/>
              </w:rPr>
              <w:t>∆</w:t>
            </w:r>
            <w:r>
              <w:rPr>
                <w:rFonts w:ascii="Times New Roman" w:hAnsi="Times New Roman" w:cs="Times New Roman"/>
                <w:color w:val="000000"/>
                <w:sz w:val="24"/>
                <w:szCs w:val="24"/>
                <w:lang w:val="en-GB"/>
              </w:rPr>
              <w:t>Y</w:t>
            </w:r>
          </w:p>
        </w:tc>
        <w:tc>
          <w:tcPr>
            <w:tcW w:w="871" w:type="pct"/>
            <w:tcBorders>
              <w:top w:val="nil"/>
              <w:left w:val="nil"/>
              <w:bottom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4.8071</w:t>
            </w:r>
            <w:r w:rsidRPr="009872E0">
              <w:rPr>
                <w:rFonts w:ascii="Times New Roman" w:hAnsi="Times New Roman" w:cs="Times New Roman"/>
                <w:color w:val="000000"/>
                <w:sz w:val="24"/>
                <w:szCs w:val="24"/>
                <w:lang w:val="en-GB"/>
              </w:rPr>
              <w:t>[0]**</w:t>
            </w:r>
          </w:p>
        </w:tc>
        <w:tc>
          <w:tcPr>
            <w:tcW w:w="985" w:type="pct"/>
            <w:tcBorders>
              <w:top w:val="nil"/>
              <w:left w:val="nil"/>
              <w:bottom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-5.2784[0]**</w:t>
            </w:r>
          </w:p>
        </w:tc>
        <w:tc>
          <w:tcPr>
            <w:tcW w:w="498" w:type="pct"/>
            <w:tcBorders>
              <w:top w:val="nil"/>
              <w:left w:val="nil"/>
              <w:bottom w:val="nil"/>
              <w:right w:val="nil"/>
            </w:tcBorders>
            <w:shd w:val="clear" w:color="auto" w:fill="auto"/>
            <w:vAlign w:val="bottom"/>
            <w:hideMark/>
          </w:tcPr>
          <w:p w:rsidR="00412FC2" w:rsidRPr="009872E0" w:rsidRDefault="00412FC2" w:rsidP="00FF216E">
            <w:pPr>
              <w:spacing w:after="0"/>
              <w:rPr>
                <w:rFonts w:ascii="Times New Roman" w:hAnsi="Times New Roman" w:cs="Times New Roman"/>
                <w:color w:val="000000"/>
                <w:sz w:val="24"/>
                <w:szCs w:val="24"/>
                <w:lang w:val="en-GB"/>
              </w:rPr>
            </w:pPr>
          </w:p>
        </w:tc>
        <w:tc>
          <w:tcPr>
            <w:tcW w:w="866" w:type="pct"/>
            <w:tcBorders>
              <w:top w:val="nil"/>
              <w:left w:val="nil"/>
              <w:bottom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0.3924[0</w:t>
            </w:r>
            <w:r w:rsidRPr="009872E0">
              <w:rPr>
                <w:rFonts w:ascii="Times New Roman" w:hAnsi="Times New Roman" w:cs="Times New Roman"/>
                <w:color w:val="000000"/>
                <w:sz w:val="24"/>
                <w:szCs w:val="24"/>
                <w:lang w:val="en-GB"/>
              </w:rPr>
              <w:t>]</w:t>
            </w:r>
          </w:p>
        </w:tc>
        <w:tc>
          <w:tcPr>
            <w:tcW w:w="1092" w:type="pct"/>
            <w:tcBorders>
              <w:top w:val="nil"/>
              <w:left w:val="nil"/>
              <w:bottom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0.1032[6]</w:t>
            </w:r>
          </w:p>
        </w:tc>
      </w:tr>
      <w:tr w:rsidR="00412FC2" w:rsidRPr="009872E0" w:rsidTr="00FF216E">
        <w:trPr>
          <w:trHeight w:val="300"/>
        </w:trPr>
        <w:tc>
          <w:tcPr>
            <w:tcW w:w="688" w:type="pct"/>
            <w:tcBorders>
              <w:top w:val="nil"/>
              <w:left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bCs/>
                <w:color w:val="000000"/>
                <w:sz w:val="24"/>
                <w:szCs w:val="24"/>
                <w:lang w:val="en-GB"/>
              </w:rPr>
              <w:t>∆</w:t>
            </w:r>
            <w:r>
              <w:rPr>
                <w:rFonts w:ascii="Times New Roman" w:hAnsi="Times New Roman" w:cs="Times New Roman"/>
                <w:bCs/>
                <w:color w:val="000000"/>
                <w:sz w:val="24"/>
                <w:szCs w:val="24"/>
                <w:lang w:val="en-GB"/>
              </w:rPr>
              <w:t>EC</w:t>
            </w:r>
          </w:p>
        </w:tc>
        <w:tc>
          <w:tcPr>
            <w:tcW w:w="871" w:type="pct"/>
            <w:tcBorders>
              <w:top w:val="nil"/>
              <w:left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5.1713</w:t>
            </w:r>
            <w:r w:rsidRPr="009872E0">
              <w:rPr>
                <w:rFonts w:ascii="Times New Roman" w:hAnsi="Times New Roman" w:cs="Times New Roman"/>
                <w:color w:val="000000"/>
                <w:sz w:val="24"/>
                <w:szCs w:val="24"/>
                <w:lang w:val="en-GB"/>
              </w:rPr>
              <w:t>[0]**</w:t>
            </w:r>
          </w:p>
        </w:tc>
        <w:tc>
          <w:tcPr>
            <w:tcW w:w="985" w:type="pct"/>
            <w:tcBorders>
              <w:top w:val="nil"/>
              <w:left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5.6922[0]**</w:t>
            </w:r>
          </w:p>
        </w:tc>
        <w:tc>
          <w:tcPr>
            <w:tcW w:w="498" w:type="pct"/>
            <w:tcBorders>
              <w:top w:val="nil"/>
              <w:left w:val="nil"/>
              <w:right w:val="nil"/>
            </w:tcBorders>
            <w:shd w:val="clear" w:color="auto" w:fill="auto"/>
            <w:vAlign w:val="bottom"/>
            <w:hideMark/>
          </w:tcPr>
          <w:p w:rsidR="00412FC2" w:rsidRPr="009872E0" w:rsidRDefault="00412FC2" w:rsidP="00FF216E">
            <w:pPr>
              <w:spacing w:after="0"/>
              <w:rPr>
                <w:rFonts w:ascii="Times New Roman" w:hAnsi="Times New Roman" w:cs="Times New Roman"/>
                <w:color w:val="000000"/>
                <w:sz w:val="24"/>
                <w:szCs w:val="24"/>
                <w:lang w:val="en-GB"/>
              </w:rPr>
            </w:pPr>
          </w:p>
        </w:tc>
        <w:tc>
          <w:tcPr>
            <w:tcW w:w="866" w:type="pct"/>
            <w:tcBorders>
              <w:top w:val="nil"/>
              <w:left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0.4203</w:t>
            </w:r>
            <w:r w:rsidRPr="009872E0">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4</w:t>
            </w:r>
            <w:r w:rsidRPr="009872E0">
              <w:rPr>
                <w:rFonts w:ascii="Times New Roman" w:hAnsi="Times New Roman" w:cs="Times New Roman"/>
                <w:color w:val="000000"/>
                <w:sz w:val="24"/>
                <w:szCs w:val="24"/>
                <w:lang w:val="en-GB"/>
              </w:rPr>
              <w:t>]</w:t>
            </w:r>
          </w:p>
        </w:tc>
        <w:tc>
          <w:tcPr>
            <w:tcW w:w="1092" w:type="pct"/>
            <w:tcBorders>
              <w:top w:val="nil"/>
              <w:left w:val="nil"/>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0.1219[5]</w:t>
            </w:r>
          </w:p>
        </w:tc>
      </w:tr>
      <w:tr w:rsidR="00412FC2" w:rsidRPr="009872E0" w:rsidTr="00FF216E">
        <w:trPr>
          <w:trHeight w:val="300"/>
        </w:trPr>
        <w:tc>
          <w:tcPr>
            <w:tcW w:w="688"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bCs/>
                <w:color w:val="000000"/>
                <w:sz w:val="24"/>
                <w:szCs w:val="24"/>
                <w:lang w:val="en-GB"/>
              </w:rPr>
              <w:t>∆</w:t>
            </w:r>
            <w:r>
              <w:rPr>
                <w:rFonts w:ascii="Times New Roman" w:hAnsi="Times New Roman" w:cs="Times New Roman"/>
                <w:color w:val="000000"/>
                <w:sz w:val="24"/>
                <w:szCs w:val="24"/>
                <w:lang w:val="en-GB"/>
              </w:rPr>
              <w:t>CO2</w:t>
            </w:r>
          </w:p>
        </w:tc>
        <w:tc>
          <w:tcPr>
            <w:tcW w:w="871"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-7.</w:t>
            </w:r>
            <w:r>
              <w:rPr>
                <w:rFonts w:ascii="Times New Roman" w:hAnsi="Times New Roman" w:cs="Times New Roman"/>
                <w:color w:val="000000"/>
                <w:sz w:val="24"/>
                <w:szCs w:val="24"/>
                <w:lang w:val="en-GB"/>
              </w:rPr>
              <w:t>9646</w:t>
            </w:r>
            <w:r w:rsidRPr="009872E0">
              <w:rPr>
                <w:rFonts w:ascii="Times New Roman" w:hAnsi="Times New Roman" w:cs="Times New Roman"/>
                <w:color w:val="000000"/>
                <w:sz w:val="24"/>
                <w:szCs w:val="24"/>
                <w:lang w:val="en-GB"/>
              </w:rPr>
              <w:t>[0]**</w:t>
            </w:r>
          </w:p>
        </w:tc>
        <w:tc>
          <w:tcPr>
            <w:tcW w:w="985"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5.7979[1]**</w:t>
            </w:r>
          </w:p>
        </w:tc>
        <w:tc>
          <w:tcPr>
            <w:tcW w:w="498"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rPr>
                <w:rFonts w:ascii="Times New Roman" w:hAnsi="Times New Roman" w:cs="Times New Roman"/>
                <w:color w:val="000000"/>
                <w:sz w:val="24"/>
                <w:szCs w:val="24"/>
                <w:lang w:val="en-GB"/>
              </w:rPr>
            </w:pPr>
          </w:p>
        </w:tc>
        <w:tc>
          <w:tcPr>
            <w:tcW w:w="866"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sidRPr="009872E0">
              <w:rPr>
                <w:rFonts w:ascii="Times New Roman" w:hAnsi="Times New Roman" w:cs="Times New Roman"/>
                <w:color w:val="000000"/>
                <w:sz w:val="24"/>
                <w:szCs w:val="24"/>
                <w:lang w:val="en-GB"/>
              </w:rPr>
              <w:t>0.</w:t>
            </w:r>
            <w:r>
              <w:rPr>
                <w:rFonts w:ascii="Times New Roman" w:hAnsi="Times New Roman" w:cs="Times New Roman"/>
                <w:color w:val="000000"/>
                <w:sz w:val="24"/>
                <w:szCs w:val="24"/>
                <w:lang w:val="en-GB"/>
              </w:rPr>
              <w:t>2973[2]</w:t>
            </w:r>
          </w:p>
        </w:tc>
        <w:tc>
          <w:tcPr>
            <w:tcW w:w="1092" w:type="pct"/>
            <w:tcBorders>
              <w:top w:val="nil"/>
              <w:left w:val="nil"/>
              <w:bottom w:val="single" w:sz="4" w:space="0" w:color="auto"/>
              <w:right w:val="nil"/>
            </w:tcBorders>
            <w:shd w:val="clear" w:color="auto" w:fill="auto"/>
            <w:vAlign w:val="bottom"/>
            <w:hideMark/>
          </w:tcPr>
          <w:p w:rsidR="00412FC2" w:rsidRPr="009872E0" w:rsidRDefault="00412FC2" w:rsidP="00FF216E">
            <w:pPr>
              <w:spacing w:after="0"/>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0.0357[0]</w:t>
            </w:r>
          </w:p>
        </w:tc>
      </w:tr>
      <w:tr w:rsidR="00412FC2" w:rsidRPr="002871CC" w:rsidTr="00FF216E">
        <w:trPr>
          <w:trHeight w:val="300"/>
        </w:trPr>
        <w:tc>
          <w:tcPr>
            <w:tcW w:w="5000" w:type="pct"/>
            <w:gridSpan w:val="6"/>
            <w:tcBorders>
              <w:top w:val="single" w:sz="4" w:space="0" w:color="auto"/>
              <w:left w:val="nil"/>
              <w:bottom w:val="nil"/>
              <w:right w:val="nil"/>
            </w:tcBorders>
            <w:shd w:val="clear" w:color="auto" w:fill="auto"/>
            <w:noWrap/>
            <w:vAlign w:val="bottom"/>
            <w:hideMark/>
          </w:tcPr>
          <w:p w:rsidR="00412FC2" w:rsidRPr="002871CC" w:rsidRDefault="00412FC2" w:rsidP="00FF216E">
            <w:pPr>
              <w:spacing w:after="0"/>
              <w:jc w:val="both"/>
              <w:rPr>
                <w:rFonts w:ascii="Times New Roman" w:hAnsi="Times New Roman" w:cs="Times New Roman"/>
                <w:color w:val="000000"/>
                <w:sz w:val="20"/>
                <w:szCs w:val="24"/>
                <w:lang w:val="en-GB"/>
              </w:rPr>
            </w:pPr>
            <w:r w:rsidRPr="002871CC">
              <w:rPr>
                <w:rFonts w:ascii="Times New Roman" w:hAnsi="Times New Roman" w:cs="Times New Roman"/>
                <w:color w:val="000000"/>
                <w:sz w:val="20"/>
                <w:szCs w:val="24"/>
                <w:lang w:val="en-GB"/>
              </w:rPr>
              <w:t>Notes: "∆" is the first different operator. Asterisks (**) indicate statistical significance at 5 per cent level. Figures in […] are the lag lengths. The asymptotic and finite sample critical value for ADF is obtained from MacKinnon (1996). The ADF test examines the null hypothesis of a unit root against the stationary alternative. The KPSS test critical values are obtained from Kwiatkowski et al. (1992, Table 1, p.166). KPSS tests the null hypothesis that the series is stationary against the alternative hypothesis of a unit root.</w:t>
            </w:r>
          </w:p>
        </w:tc>
      </w:tr>
    </w:tbl>
    <w:p w:rsidR="008E2191" w:rsidRDefault="008E2191"/>
    <w:p w:rsidR="00412FC2" w:rsidRDefault="00412FC2"/>
    <w:p w:rsidR="00412FC2" w:rsidRPr="00412FC2" w:rsidRDefault="00412FC2">
      <w:pPr>
        <w:rPr>
          <w:rFonts w:ascii="Times New Roman" w:hAnsi="Times New Roman" w:cs="Times New Roman"/>
          <w:b/>
          <w:sz w:val="24"/>
        </w:rPr>
      </w:pPr>
      <w:r w:rsidRPr="00412FC2">
        <w:rPr>
          <w:rFonts w:ascii="Times New Roman" w:hAnsi="Times New Roman" w:cs="Times New Roman"/>
          <w:b/>
          <w:sz w:val="24"/>
        </w:rPr>
        <w:t>References:</w:t>
      </w:r>
    </w:p>
    <w:p w:rsidR="00412FC2" w:rsidRPr="00412FC2" w:rsidRDefault="00412FC2" w:rsidP="00412FC2">
      <w:pPr>
        <w:spacing w:after="240"/>
        <w:ind w:left="720" w:hanging="720"/>
        <w:jc w:val="both"/>
        <w:rPr>
          <w:rFonts w:ascii="Times New Roman" w:hAnsi="Times New Roman" w:cs="Times New Roman"/>
          <w:sz w:val="24"/>
          <w:szCs w:val="24"/>
          <w:lang w:val="en-GB"/>
        </w:rPr>
      </w:pPr>
      <w:r w:rsidRPr="00412FC2">
        <w:rPr>
          <w:rFonts w:ascii="Times New Roman" w:hAnsi="Times New Roman" w:cs="Times New Roman"/>
          <w:sz w:val="24"/>
          <w:szCs w:val="24"/>
          <w:lang w:val="en-GB"/>
        </w:rPr>
        <w:t xml:space="preserve">Kwiatkowski, D., Phillips, P.C.B., Schmidt, P., &amp; Shin, Y. (1992). Testing the Null Hypothesis of </w:t>
      </w:r>
      <w:proofErr w:type="spellStart"/>
      <w:r w:rsidRPr="00412FC2">
        <w:rPr>
          <w:rFonts w:ascii="Times New Roman" w:hAnsi="Times New Roman" w:cs="Times New Roman"/>
          <w:sz w:val="24"/>
          <w:szCs w:val="24"/>
          <w:lang w:val="en-GB"/>
        </w:rPr>
        <w:t>Stationarity</w:t>
      </w:r>
      <w:proofErr w:type="spellEnd"/>
      <w:r w:rsidRPr="00412FC2">
        <w:rPr>
          <w:rFonts w:ascii="Times New Roman" w:hAnsi="Times New Roman" w:cs="Times New Roman"/>
          <w:sz w:val="24"/>
          <w:szCs w:val="24"/>
          <w:lang w:val="en-GB"/>
        </w:rPr>
        <w:t xml:space="preserve"> against the Alternative of Unit Root: How Sure Are We that the Economic Time Series Have a Unit Root? </w:t>
      </w:r>
      <w:r w:rsidRPr="00412FC2">
        <w:rPr>
          <w:rFonts w:ascii="Times New Roman" w:hAnsi="Times New Roman" w:cs="Times New Roman"/>
          <w:i/>
          <w:sz w:val="24"/>
          <w:szCs w:val="24"/>
          <w:lang w:val="en-GB"/>
        </w:rPr>
        <w:t>Journal of Econometrics</w:t>
      </w:r>
      <w:r w:rsidRPr="00412FC2">
        <w:rPr>
          <w:rFonts w:ascii="Times New Roman" w:hAnsi="Times New Roman" w:cs="Times New Roman"/>
          <w:sz w:val="24"/>
          <w:szCs w:val="24"/>
          <w:lang w:val="en-GB"/>
        </w:rPr>
        <w:t>,</w:t>
      </w:r>
      <w:r w:rsidRPr="00412FC2">
        <w:rPr>
          <w:rFonts w:ascii="Times New Roman" w:hAnsi="Times New Roman" w:cs="Times New Roman"/>
          <w:i/>
          <w:sz w:val="24"/>
          <w:szCs w:val="24"/>
          <w:lang w:val="en-GB"/>
        </w:rPr>
        <w:t xml:space="preserve"> </w:t>
      </w:r>
      <w:r w:rsidRPr="00412FC2">
        <w:rPr>
          <w:rFonts w:ascii="Times New Roman" w:hAnsi="Times New Roman" w:cs="Times New Roman"/>
          <w:sz w:val="24"/>
          <w:szCs w:val="24"/>
          <w:lang w:val="en-GB"/>
        </w:rPr>
        <w:t>54, 159-178.</w:t>
      </w:r>
    </w:p>
    <w:p w:rsidR="00412FC2" w:rsidRPr="00412FC2" w:rsidRDefault="00412FC2" w:rsidP="00412FC2">
      <w:pPr>
        <w:spacing w:after="240"/>
        <w:ind w:left="720" w:hanging="720"/>
        <w:jc w:val="both"/>
        <w:rPr>
          <w:rFonts w:ascii="Times New Roman" w:hAnsi="Times New Roman" w:cs="Times New Roman"/>
          <w:sz w:val="24"/>
          <w:szCs w:val="24"/>
          <w:lang w:val="en-GB"/>
        </w:rPr>
      </w:pPr>
      <w:r w:rsidRPr="00412FC2">
        <w:rPr>
          <w:rFonts w:ascii="Times New Roman" w:hAnsi="Times New Roman" w:cs="Times New Roman"/>
          <w:sz w:val="24"/>
          <w:szCs w:val="24"/>
          <w:lang w:val="en-GB"/>
        </w:rPr>
        <w:t xml:space="preserve">MacKinnon, J.G. (1996). Numerical Distribution Functions for Unit Root and </w:t>
      </w:r>
      <w:proofErr w:type="spellStart"/>
      <w:r w:rsidRPr="00412FC2">
        <w:rPr>
          <w:rFonts w:ascii="Times New Roman" w:hAnsi="Times New Roman" w:cs="Times New Roman"/>
          <w:sz w:val="24"/>
          <w:szCs w:val="24"/>
          <w:lang w:val="en-GB"/>
        </w:rPr>
        <w:t>Cointegration</w:t>
      </w:r>
      <w:proofErr w:type="spellEnd"/>
      <w:r w:rsidRPr="00412FC2">
        <w:rPr>
          <w:rFonts w:ascii="Times New Roman" w:hAnsi="Times New Roman" w:cs="Times New Roman"/>
          <w:sz w:val="24"/>
          <w:szCs w:val="24"/>
          <w:lang w:val="en-GB"/>
        </w:rPr>
        <w:t xml:space="preserve"> Tests. </w:t>
      </w:r>
      <w:r w:rsidRPr="00412FC2">
        <w:rPr>
          <w:rFonts w:ascii="Times New Roman" w:hAnsi="Times New Roman" w:cs="Times New Roman"/>
          <w:i/>
          <w:sz w:val="24"/>
          <w:szCs w:val="24"/>
          <w:lang w:val="en-GB"/>
        </w:rPr>
        <w:t>Journal of Applied Econometrics</w:t>
      </w:r>
      <w:r w:rsidRPr="00412FC2">
        <w:rPr>
          <w:rFonts w:ascii="Times New Roman" w:hAnsi="Times New Roman" w:cs="Times New Roman"/>
          <w:sz w:val="24"/>
          <w:szCs w:val="24"/>
          <w:lang w:val="en-GB"/>
        </w:rPr>
        <w:t>, 11, 601-618.</w:t>
      </w:r>
    </w:p>
    <w:p w:rsidR="00412FC2" w:rsidRDefault="00412FC2"/>
    <w:sectPr w:rsidR="00412FC2" w:rsidSect="00D92AC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A72" w:rsidRDefault="00B13A72" w:rsidP="00412FC2">
      <w:pPr>
        <w:spacing w:after="0" w:line="240" w:lineRule="auto"/>
      </w:pPr>
      <w:r>
        <w:separator/>
      </w:r>
    </w:p>
  </w:endnote>
  <w:endnote w:type="continuationSeparator" w:id="0">
    <w:p w:rsidR="00B13A72" w:rsidRDefault="00B13A72" w:rsidP="00412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A72" w:rsidRDefault="00B13A72" w:rsidP="00412FC2">
      <w:pPr>
        <w:spacing w:after="0" w:line="240" w:lineRule="auto"/>
      </w:pPr>
      <w:r>
        <w:separator/>
      </w:r>
    </w:p>
  </w:footnote>
  <w:footnote w:type="continuationSeparator" w:id="0">
    <w:p w:rsidR="00B13A72" w:rsidRDefault="00B13A72" w:rsidP="00412FC2">
      <w:pPr>
        <w:spacing w:after="0" w:line="240" w:lineRule="auto"/>
      </w:pPr>
      <w:r>
        <w:continuationSeparator/>
      </w:r>
    </w:p>
  </w:footnote>
  <w:footnote w:id="1">
    <w:p w:rsidR="00412FC2" w:rsidRPr="001C31D6" w:rsidRDefault="00412FC2" w:rsidP="00412FC2">
      <w:pPr>
        <w:pStyle w:val="FootnoteText"/>
        <w:rPr>
          <w:rFonts w:ascii="Times New Roman" w:hAnsi="Times New Roman" w:cs="Times New Roman"/>
          <w:sz w:val="18"/>
          <w:lang w:val="en-US"/>
        </w:rPr>
      </w:pPr>
      <w:r w:rsidRPr="001C31D6">
        <w:rPr>
          <w:rStyle w:val="FootnoteReference"/>
          <w:rFonts w:ascii="Times New Roman" w:hAnsi="Times New Roman" w:cs="Times New Roman"/>
          <w:sz w:val="18"/>
        </w:rPr>
        <w:footnoteRef/>
      </w:r>
      <w:r w:rsidRPr="001C31D6">
        <w:rPr>
          <w:rFonts w:ascii="Times New Roman" w:hAnsi="Times New Roman" w:cs="Times New Roman"/>
          <w:sz w:val="18"/>
        </w:rPr>
        <w:t xml:space="preserve"> </w:t>
      </w:r>
      <w:r w:rsidRPr="001C31D6">
        <w:rPr>
          <w:rFonts w:ascii="Times New Roman" w:hAnsi="Times New Roman" w:cs="Times New Roman"/>
          <w:sz w:val="18"/>
          <w:lang w:val="en-US"/>
        </w:rPr>
        <w:t xml:space="preserve">Corresponding author. E-mail address: </w:t>
      </w:r>
      <w:hyperlink r:id="rId1" w:history="1">
        <w:r w:rsidRPr="001C31D6">
          <w:rPr>
            <w:rStyle w:val="Hyperlink"/>
            <w:rFonts w:ascii="Times New Roman" w:hAnsi="Times New Roman" w:cs="Times New Roman"/>
            <w:sz w:val="18"/>
            <w:lang w:val="en-US"/>
          </w:rPr>
          <w:t>tan.chiang.ching@ucts.edu.my</w:t>
        </w:r>
      </w:hyperlink>
      <w:r w:rsidRPr="001C31D6">
        <w:rPr>
          <w:rFonts w:ascii="Times New Roman" w:hAnsi="Times New Roman" w:cs="Times New Roman"/>
          <w:sz w:val="18"/>
          <w:lang w:val="en-US"/>
        </w:rPr>
        <w:t xml:space="preserve"> (C.C. Tan), </w:t>
      </w:r>
      <w:hyperlink r:id="rId2" w:history="1">
        <w:r w:rsidRPr="001C31D6">
          <w:rPr>
            <w:rStyle w:val="Hyperlink"/>
            <w:rFonts w:ascii="Times New Roman" w:hAnsi="Times New Roman" w:cs="Times New Roman"/>
            <w:sz w:val="18"/>
            <w:lang w:val="en-US"/>
          </w:rPr>
          <w:t>stcw9255@gmail.com</w:t>
        </w:r>
      </w:hyperlink>
      <w:r w:rsidRPr="001C31D6">
        <w:rPr>
          <w:rFonts w:ascii="Times New Roman" w:hAnsi="Times New Roman" w:cs="Times New Roman"/>
          <w:sz w:val="18"/>
          <w:lang w:val="en-US"/>
        </w:rPr>
        <w:t xml:space="preserve"> (S. Tan)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C2"/>
    <w:rsid w:val="00412FC2"/>
    <w:rsid w:val="00453613"/>
    <w:rsid w:val="00824A4C"/>
    <w:rsid w:val="008E2191"/>
    <w:rsid w:val="00B13A72"/>
    <w:rsid w:val="00D92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9A932-4228-490D-8260-02DDA7DF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12FC2"/>
    <w:pPr>
      <w:spacing w:after="0" w:line="240" w:lineRule="auto"/>
    </w:pPr>
    <w:rPr>
      <w:sz w:val="20"/>
      <w:szCs w:val="20"/>
      <w:lang w:val="en-GB" w:eastAsia="en-GB"/>
    </w:rPr>
  </w:style>
  <w:style w:type="character" w:customStyle="1" w:styleId="FootnoteTextChar">
    <w:name w:val="Footnote Text Char"/>
    <w:basedOn w:val="DefaultParagraphFont"/>
    <w:link w:val="FootnoteText"/>
    <w:semiHidden/>
    <w:rsid w:val="00412FC2"/>
    <w:rPr>
      <w:sz w:val="20"/>
      <w:szCs w:val="20"/>
      <w:lang w:val="en-GB" w:eastAsia="en-GB"/>
    </w:rPr>
  </w:style>
  <w:style w:type="paragraph" w:customStyle="1" w:styleId="Els-Affiliation">
    <w:name w:val="Els-Affiliation"/>
    <w:next w:val="Normal"/>
    <w:rsid w:val="00412FC2"/>
    <w:pPr>
      <w:suppressAutoHyphens/>
      <w:spacing w:after="0" w:line="200" w:lineRule="exact"/>
      <w:jc w:val="center"/>
    </w:pPr>
    <w:rPr>
      <w:rFonts w:ascii="Times New Roman" w:eastAsia="SimSun" w:hAnsi="Times New Roman" w:cs="Times New Roman"/>
      <w:i/>
      <w:noProof/>
      <w:sz w:val="16"/>
      <w:szCs w:val="20"/>
      <w:lang w:val="en-GB" w:eastAsia="en-US"/>
    </w:rPr>
  </w:style>
  <w:style w:type="character" w:styleId="FootnoteReference">
    <w:name w:val="footnote reference"/>
    <w:basedOn w:val="DefaultParagraphFont"/>
    <w:uiPriority w:val="99"/>
    <w:semiHidden/>
    <w:unhideWhenUsed/>
    <w:rsid w:val="00412FC2"/>
    <w:rPr>
      <w:vertAlign w:val="superscript"/>
    </w:rPr>
  </w:style>
  <w:style w:type="character" w:styleId="Hyperlink">
    <w:name w:val="Hyperlink"/>
    <w:basedOn w:val="DefaultParagraphFont"/>
    <w:uiPriority w:val="99"/>
    <w:unhideWhenUsed/>
    <w:rsid w:val="00412F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mailto:stcw9255@gmail.com" TargetMode="External"/><Relationship Id="rId1" Type="http://schemas.openxmlformats.org/officeDocument/2006/relationships/hyperlink" Target="mailto:tan.chiang.ching@ucts.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1532</Characters>
  <Application>Microsoft Office Word</Application>
  <DocSecurity>0</DocSecurity>
  <Lines>12</Lines>
  <Paragraphs>3</Paragraphs>
  <ScaleCrop>false</ScaleCrop>
  <Company>Microsoft</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UCTS-VOSTRO</dc:creator>
  <cp:keywords/>
  <dc:description/>
  <cp:lastModifiedBy>UCTS-VOSTRO</cp:lastModifiedBy>
  <cp:revision>1</cp:revision>
  <dcterms:created xsi:type="dcterms:W3CDTF">2018-03-23T07:29:00Z</dcterms:created>
  <dcterms:modified xsi:type="dcterms:W3CDTF">2018-03-23T07:33:00Z</dcterms:modified>
</cp:coreProperties>
</file>