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A4700" w14:textId="77777777" w:rsidR="006704DA" w:rsidRPr="009E7E22" w:rsidRDefault="006704DA" w:rsidP="009E7E22">
      <w:pPr>
        <w:autoSpaceDE w:val="0"/>
        <w:autoSpaceDN w:val="0"/>
        <w:adjustRightInd w:val="0"/>
        <w:spacing w:line="360" w:lineRule="auto"/>
        <w:rPr>
          <w:b/>
          <w:sz w:val="22"/>
          <w:szCs w:val="22"/>
          <w:lang w:val="en-US"/>
        </w:rPr>
      </w:pPr>
    </w:p>
    <w:p w14:paraId="7472A450" w14:textId="42F286F6" w:rsidR="006704DA" w:rsidRPr="005D7E42" w:rsidRDefault="006704DA" w:rsidP="005D7E42">
      <w:pPr>
        <w:autoSpaceDE w:val="0"/>
        <w:autoSpaceDN w:val="0"/>
        <w:adjustRightInd w:val="0"/>
        <w:jc w:val="center"/>
        <w:rPr>
          <w:b/>
          <w:sz w:val="28"/>
          <w:szCs w:val="28"/>
          <w:lang w:val="en-US"/>
        </w:rPr>
      </w:pPr>
      <w:r w:rsidRPr="005D7E42">
        <w:rPr>
          <w:b/>
          <w:sz w:val="28"/>
          <w:szCs w:val="28"/>
          <w:lang w:val="en-US"/>
        </w:rPr>
        <w:t>The Brazilian Electric</w:t>
      </w:r>
      <w:r w:rsidR="00162168" w:rsidRPr="005D7E42">
        <w:rPr>
          <w:b/>
          <w:sz w:val="28"/>
          <w:szCs w:val="28"/>
          <w:lang w:val="en-US"/>
        </w:rPr>
        <w:t>ity</w:t>
      </w:r>
      <w:r w:rsidRPr="005D7E42">
        <w:rPr>
          <w:b/>
          <w:sz w:val="28"/>
          <w:szCs w:val="28"/>
          <w:lang w:val="en-US"/>
        </w:rPr>
        <w:t xml:space="preserve"> Energy Market: </w:t>
      </w:r>
      <w:r w:rsidR="00FF24B0" w:rsidRPr="005D7E42">
        <w:rPr>
          <w:b/>
          <w:sz w:val="28"/>
          <w:szCs w:val="28"/>
          <w:lang w:val="en-US"/>
        </w:rPr>
        <w:t>T</w:t>
      </w:r>
      <w:r w:rsidRPr="005D7E42">
        <w:rPr>
          <w:b/>
          <w:sz w:val="28"/>
          <w:szCs w:val="28"/>
          <w:lang w:val="en-US"/>
        </w:rPr>
        <w:t xml:space="preserve">he </w:t>
      </w:r>
      <w:r w:rsidR="00FF24B0" w:rsidRPr="005D7E42">
        <w:rPr>
          <w:b/>
          <w:sz w:val="28"/>
          <w:szCs w:val="28"/>
          <w:lang w:val="en-US"/>
        </w:rPr>
        <w:t>R</w:t>
      </w:r>
      <w:r w:rsidRPr="005D7E42">
        <w:rPr>
          <w:b/>
          <w:sz w:val="28"/>
          <w:szCs w:val="28"/>
          <w:lang w:val="en-US"/>
        </w:rPr>
        <w:t xml:space="preserve">ole of Regulatory Content Intensity and </w:t>
      </w:r>
      <w:r w:rsidR="00FF24B0" w:rsidRPr="005D7E42">
        <w:rPr>
          <w:b/>
          <w:sz w:val="28"/>
          <w:szCs w:val="28"/>
          <w:lang w:val="en-US"/>
        </w:rPr>
        <w:t>I</w:t>
      </w:r>
      <w:r w:rsidRPr="005D7E42">
        <w:rPr>
          <w:b/>
          <w:sz w:val="28"/>
          <w:szCs w:val="28"/>
          <w:lang w:val="en-US"/>
        </w:rPr>
        <w:t xml:space="preserve">ts </w:t>
      </w:r>
      <w:r w:rsidR="00FF24B0" w:rsidRPr="005D7E42">
        <w:rPr>
          <w:b/>
          <w:sz w:val="28"/>
          <w:szCs w:val="28"/>
          <w:lang w:val="en-US"/>
        </w:rPr>
        <w:t>I</w:t>
      </w:r>
      <w:r w:rsidRPr="005D7E42">
        <w:rPr>
          <w:b/>
          <w:sz w:val="28"/>
          <w:szCs w:val="28"/>
          <w:lang w:val="en-US"/>
        </w:rPr>
        <w:t>mpact on Capital Shares Risk</w:t>
      </w:r>
    </w:p>
    <w:p w14:paraId="1630095C" w14:textId="77777777" w:rsidR="005B605A" w:rsidRPr="0041089F" w:rsidRDefault="005B605A" w:rsidP="00972F69">
      <w:pPr>
        <w:tabs>
          <w:tab w:val="left" w:pos="5710"/>
        </w:tabs>
        <w:spacing w:after="120"/>
        <w:rPr>
          <w:b/>
          <w:sz w:val="22"/>
          <w:szCs w:val="22"/>
          <w:lang w:val="en-US"/>
        </w:rPr>
      </w:pPr>
    </w:p>
    <w:p w14:paraId="42809D25" w14:textId="6AAE45ED" w:rsidR="005B605A" w:rsidRPr="00474548" w:rsidRDefault="00401D22" w:rsidP="00401D22">
      <w:pPr>
        <w:autoSpaceDE w:val="0"/>
        <w:autoSpaceDN w:val="0"/>
        <w:adjustRightInd w:val="0"/>
        <w:jc w:val="both"/>
        <w:rPr>
          <w:b/>
          <w:sz w:val="22"/>
          <w:szCs w:val="22"/>
          <w:lang w:val="en-US"/>
        </w:rPr>
      </w:pPr>
      <w:r w:rsidRPr="00474548">
        <w:rPr>
          <w:b/>
          <w:sz w:val="22"/>
          <w:szCs w:val="22"/>
          <w:lang w:val="en-US"/>
        </w:rPr>
        <w:t xml:space="preserve">ABSTRACT: </w:t>
      </w:r>
      <w:r w:rsidR="00974B08" w:rsidRPr="00474548">
        <w:rPr>
          <w:sz w:val="22"/>
          <w:szCs w:val="22"/>
          <w:lang w:val="en-US"/>
        </w:rPr>
        <w:t xml:space="preserve">This </w:t>
      </w:r>
      <w:r w:rsidR="00F72179" w:rsidRPr="00474548">
        <w:rPr>
          <w:sz w:val="22"/>
          <w:szCs w:val="22"/>
          <w:lang w:val="en-US"/>
        </w:rPr>
        <w:t xml:space="preserve">study </w:t>
      </w:r>
      <w:r w:rsidR="00B46EB3" w:rsidRPr="00474548">
        <w:rPr>
          <w:sz w:val="22"/>
          <w:szCs w:val="22"/>
          <w:lang w:val="en-US"/>
        </w:rPr>
        <w:t>analyzes the risk related effect of c</w:t>
      </w:r>
      <w:r w:rsidR="00974B08" w:rsidRPr="00474548">
        <w:rPr>
          <w:sz w:val="22"/>
          <w:szCs w:val="22"/>
          <w:lang w:val="en-US"/>
        </w:rPr>
        <w:t xml:space="preserve">ontent </w:t>
      </w:r>
      <w:r w:rsidR="00B46EB3" w:rsidRPr="00474548">
        <w:rPr>
          <w:sz w:val="22"/>
          <w:szCs w:val="22"/>
          <w:lang w:val="en-US"/>
        </w:rPr>
        <w:t>i</w:t>
      </w:r>
      <w:r w:rsidR="00974B08" w:rsidRPr="00474548">
        <w:rPr>
          <w:sz w:val="22"/>
          <w:szCs w:val="22"/>
          <w:lang w:val="en-US"/>
        </w:rPr>
        <w:t xml:space="preserve">ntensity in </w:t>
      </w:r>
      <w:r w:rsidR="00B46EB3" w:rsidRPr="00474548">
        <w:rPr>
          <w:sz w:val="22"/>
          <w:szCs w:val="22"/>
          <w:lang w:val="en-US"/>
        </w:rPr>
        <w:t>r</w:t>
      </w:r>
      <w:r w:rsidR="00974B08" w:rsidRPr="00474548">
        <w:rPr>
          <w:sz w:val="22"/>
          <w:szCs w:val="22"/>
          <w:lang w:val="en-US"/>
        </w:rPr>
        <w:t xml:space="preserve">egulatory </w:t>
      </w:r>
      <w:r w:rsidR="00B46EB3" w:rsidRPr="00474548">
        <w:rPr>
          <w:sz w:val="22"/>
          <w:szCs w:val="22"/>
          <w:lang w:val="en-US"/>
        </w:rPr>
        <w:t>l</w:t>
      </w:r>
      <w:r w:rsidR="00974B08" w:rsidRPr="00474548">
        <w:rPr>
          <w:sz w:val="22"/>
          <w:szCs w:val="22"/>
          <w:lang w:val="en-US"/>
        </w:rPr>
        <w:t xml:space="preserve">egislation </w:t>
      </w:r>
      <w:r w:rsidR="006A66C1" w:rsidRPr="00474548">
        <w:rPr>
          <w:sz w:val="22"/>
          <w:szCs w:val="22"/>
          <w:lang w:val="en-US"/>
        </w:rPr>
        <w:t>on</w:t>
      </w:r>
      <w:r w:rsidR="00974B08" w:rsidRPr="00474548">
        <w:rPr>
          <w:sz w:val="22"/>
          <w:szCs w:val="22"/>
          <w:lang w:val="en-US"/>
        </w:rPr>
        <w:t xml:space="preserve"> the shares of </w:t>
      </w:r>
      <w:r w:rsidR="00B46EB3" w:rsidRPr="00474548">
        <w:rPr>
          <w:sz w:val="22"/>
          <w:szCs w:val="22"/>
          <w:lang w:val="en-US"/>
        </w:rPr>
        <w:t xml:space="preserve">the </w:t>
      </w:r>
      <w:r w:rsidR="00974B08" w:rsidRPr="00474548">
        <w:rPr>
          <w:sz w:val="22"/>
          <w:szCs w:val="22"/>
          <w:lang w:val="en-US"/>
        </w:rPr>
        <w:t xml:space="preserve">companies operating in the Brazilian </w:t>
      </w:r>
      <w:r w:rsidR="005A3289" w:rsidRPr="00474548">
        <w:rPr>
          <w:sz w:val="22"/>
          <w:szCs w:val="22"/>
          <w:lang w:val="en-US"/>
        </w:rPr>
        <w:t>e</w:t>
      </w:r>
      <w:r w:rsidR="00974B08" w:rsidRPr="00474548">
        <w:rPr>
          <w:sz w:val="22"/>
          <w:szCs w:val="22"/>
          <w:lang w:val="en-US"/>
        </w:rPr>
        <w:t>lectric</w:t>
      </w:r>
      <w:r w:rsidR="00162168" w:rsidRPr="00474548">
        <w:rPr>
          <w:sz w:val="22"/>
          <w:szCs w:val="22"/>
          <w:lang w:val="en-US"/>
        </w:rPr>
        <w:t>ity</w:t>
      </w:r>
      <w:r w:rsidR="00974B08" w:rsidRPr="00474548">
        <w:rPr>
          <w:sz w:val="22"/>
          <w:szCs w:val="22"/>
          <w:lang w:val="en-US"/>
        </w:rPr>
        <w:t xml:space="preserve"> </w:t>
      </w:r>
      <w:r w:rsidR="005A3289" w:rsidRPr="00474548">
        <w:rPr>
          <w:sz w:val="22"/>
          <w:szCs w:val="22"/>
          <w:lang w:val="en-US"/>
        </w:rPr>
        <w:t>e</w:t>
      </w:r>
      <w:r w:rsidR="00974B08" w:rsidRPr="00474548">
        <w:rPr>
          <w:sz w:val="22"/>
          <w:szCs w:val="22"/>
          <w:lang w:val="en-US"/>
        </w:rPr>
        <w:t xml:space="preserve">nergy </w:t>
      </w:r>
      <w:r w:rsidR="005A3289" w:rsidRPr="00474548">
        <w:rPr>
          <w:sz w:val="22"/>
          <w:szCs w:val="22"/>
          <w:lang w:val="en-US"/>
        </w:rPr>
        <w:t>m</w:t>
      </w:r>
      <w:r w:rsidR="00974B08" w:rsidRPr="00474548">
        <w:rPr>
          <w:sz w:val="22"/>
          <w:szCs w:val="22"/>
          <w:lang w:val="en-US"/>
        </w:rPr>
        <w:t xml:space="preserve">arket. For this analysis, the </w:t>
      </w:r>
      <w:r w:rsidR="004C5290" w:rsidRPr="00474548">
        <w:rPr>
          <w:sz w:val="22"/>
          <w:szCs w:val="22"/>
          <w:lang w:val="en-US"/>
        </w:rPr>
        <w:t>r</w:t>
      </w:r>
      <w:r w:rsidR="00974B08" w:rsidRPr="00474548">
        <w:rPr>
          <w:sz w:val="22"/>
          <w:szCs w:val="22"/>
          <w:lang w:val="en-US"/>
        </w:rPr>
        <w:t xml:space="preserve">egulatory </w:t>
      </w:r>
      <w:r w:rsidR="004C5290" w:rsidRPr="00474548">
        <w:rPr>
          <w:sz w:val="22"/>
          <w:szCs w:val="22"/>
          <w:lang w:val="en-US"/>
        </w:rPr>
        <w:t>l</w:t>
      </w:r>
      <w:r w:rsidR="00974B08" w:rsidRPr="00474548">
        <w:rPr>
          <w:sz w:val="22"/>
          <w:szCs w:val="22"/>
          <w:lang w:val="en-US"/>
        </w:rPr>
        <w:t>egislation</w:t>
      </w:r>
      <w:r w:rsidR="001F4105" w:rsidRPr="00474548">
        <w:rPr>
          <w:sz w:val="22"/>
          <w:szCs w:val="22"/>
          <w:lang w:val="en-US"/>
        </w:rPr>
        <w:t>,</w:t>
      </w:r>
      <w:r w:rsidR="00974B08" w:rsidRPr="00474548">
        <w:rPr>
          <w:sz w:val="22"/>
          <w:szCs w:val="22"/>
          <w:lang w:val="en-US"/>
        </w:rPr>
        <w:t xml:space="preserve"> </w:t>
      </w:r>
      <w:r w:rsidR="00991799" w:rsidRPr="00474548">
        <w:rPr>
          <w:sz w:val="22"/>
          <w:szCs w:val="22"/>
          <w:lang w:val="en-US"/>
        </w:rPr>
        <w:t>enshrined in</w:t>
      </w:r>
      <w:r w:rsidR="00974B08" w:rsidRPr="00474548">
        <w:rPr>
          <w:sz w:val="22"/>
          <w:szCs w:val="22"/>
          <w:lang w:val="en-US"/>
        </w:rPr>
        <w:t xml:space="preserve"> the Federal Constitution of 1988 until 2013</w:t>
      </w:r>
      <w:r w:rsidR="00991799" w:rsidRPr="00474548">
        <w:rPr>
          <w:sz w:val="22"/>
          <w:szCs w:val="22"/>
          <w:lang w:val="en-US"/>
        </w:rPr>
        <w:t xml:space="preserve"> and addressed to the market</w:t>
      </w:r>
      <w:r w:rsidR="001F4105" w:rsidRPr="00474548">
        <w:rPr>
          <w:sz w:val="22"/>
          <w:szCs w:val="22"/>
          <w:lang w:val="en-US"/>
        </w:rPr>
        <w:t>,</w:t>
      </w:r>
      <w:r w:rsidR="0075496B" w:rsidRPr="00474548">
        <w:rPr>
          <w:sz w:val="22"/>
          <w:szCs w:val="22"/>
          <w:lang w:val="en-US"/>
        </w:rPr>
        <w:t xml:space="preserve"> was</w:t>
      </w:r>
      <w:r w:rsidR="00974B08" w:rsidRPr="00474548">
        <w:rPr>
          <w:sz w:val="22"/>
          <w:szCs w:val="22"/>
          <w:lang w:val="en-US"/>
        </w:rPr>
        <w:t xml:space="preserve"> captured and selected </w:t>
      </w:r>
      <w:r w:rsidR="004C5290" w:rsidRPr="00474548">
        <w:rPr>
          <w:sz w:val="22"/>
          <w:szCs w:val="22"/>
          <w:lang w:val="en-US"/>
        </w:rPr>
        <w:t>using the</w:t>
      </w:r>
      <w:r w:rsidR="00974B08" w:rsidRPr="00474548">
        <w:rPr>
          <w:sz w:val="22"/>
          <w:szCs w:val="22"/>
          <w:lang w:val="en-US"/>
        </w:rPr>
        <w:t xml:space="preserve"> Markov</w:t>
      </w:r>
      <w:r w:rsidR="007649F3" w:rsidRPr="00474548">
        <w:rPr>
          <w:sz w:val="22"/>
          <w:szCs w:val="22"/>
          <w:lang w:val="en-US"/>
        </w:rPr>
        <w:t xml:space="preserve"> Regime Switching model</w:t>
      </w:r>
      <w:r w:rsidR="004C5290" w:rsidRPr="00474548">
        <w:rPr>
          <w:sz w:val="22"/>
          <w:szCs w:val="22"/>
          <w:lang w:val="en-US"/>
        </w:rPr>
        <w:t xml:space="preserve"> of </w:t>
      </w:r>
      <w:r w:rsidR="00974B08" w:rsidRPr="00474548">
        <w:rPr>
          <w:sz w:val="22"/>
          <w:szCs w:val="22"/>
          <w:lang w:val="en-US"/>
        </w:rPr>
        <w:t xml:space="preserve">Regime Change. The </w:t>
      </w:r>
      <w:r w:rsidR="008D484D" w:rsidRPr="00474548">
        <w:rPr>
          <w:sz w:val="22"/>
          <w:szCs w:val="22"/>
          <w:lang w:val="en-US"/>
        </w:rPr>
        <w:t xml:space="preserve">intensity of </w:t>
      </w:r>
      <w:r w:rsidR="00974B08" w:rsidRPr="00474548">
        <w:rPr>
          <w:sz w:val="22"/>
          <w:szCs w:val="22"/>
          <w:lang w:val="en-US"/>
        </w:rPr>
        <w:t xml:space="preserve">Regulatory </w:t>
      </w:r>
      <w:r w:rsidR="009F2C79" w:rsidRPr="00474548">
        <w:rPr>
          <w:sz w:val="22"/>
          <w:szCs w:val="22"/>
          <w:lang w:val="en-US"/>
        </w:rPr>
        <w:t xml:space="preserve">Content </w:t>
      </w:r>
      <w:r w:rsidR="008D484D" w:rsidRPr="00474548">
        <w:rPr>
          <w:sz w:val="22"/>
          <w:szCs w:val="22"/>
          <w:lang w:val="en-US"/>
        </w:rPr>
        <w:t xml:space="preserve">(RC) </w:t>
      </w:r>
      <w:r w:rsidR="00974B08" w:rsidRPr="00474548">
        <w:rPr>
          <w:sz w:val="22"/>
          <w:szCs w:val="22"/>
          <w:lang w:val="en-US"/>
        </w:rPr>
        <w:t>in each legislati</w:t>
      </w:r>
      <w:r w:rsidR="006A66C1" w:rsidRPr="00474548">
        <w:rPr>
          <w:sz w:val="22"/>
          <w:szCs w:val="22"/>
          <w:lang w:val="en-US"/>
        </w:rPr>
        <w:t>ve action</w:t>
      </w:r>
      <w:r w:rsidR="00974B08" w:rsidRPr="00474548">
        <w:rPr>
          <w:sz w:val="22"/>
          <w:szCs w:val="22"/>
          <w:lang w:val="en-US"/>
        </w:rPr>
        <w:t xml:space="preserve"> was </w:t>
      </w:r>
      <w:r w:rsidR="006A66C1" w:rsidRPr="00474548">
        <w:rPr>
          <w:sz w:val="22"/>
          <w:szCs w:val="22"/>
          <w:lang w:val="en-US"/>
        </w:rPr>
        <w:t xml:space="preserve">quantified </w:t>
      </w:r>
      <w:r w:rsidR="00974B08" w:rsidRPr="00474548">
        <w:rPr>
          <w:sz w:val="22"/>
          <w:szCs w:val="22"/>
          <w:lang w:val="en-US"/>
        </w:rPr>
        <w:t>through</w:t>
      </w:r>
      <w:r w:rsidR="006A66C1" w:rsidRPr="00474548">
        <w:rPr>
          <w:sz w:val="22"/>
          <w:szCs w:val="22"/>
          <w:lang w:val="en-US"/>
        </w:rPr>
        <w:t xml:space="preserve"> the</w:t>
      </w:r>
      <w:r w:rsidR="00974B08" w:rsidRPr="00474548">
        <w:rPr>
          <w:sz w:val="22"/>
          <w:szCs w:val="22"/>
          <w:lang w:val="en-US"/>
        </w:rPr>
        <w:t xml:space="preserve"> </w:t>
      </w:r>
      <w:r w:rsidR="00765120" w:rsidRPr="00474548">
        <w:rPr>
          <w:sz w:val="22"/>
          <w:szCs w:val="22"/>
          <w:lang w:val="en-US"/>
        </w:rPr>
        <w:t>c</w:t>
      </w:r>
      <w:r w:rsidR="00974B08" w:rsidRPr="00474548">
        <w:rPr>
          <w:sz w:val="22"/>
          <w:szCs w:val="22"/>
          <w:lang w:val="en-US"/>
        </w:rPr>
        <w:t xml:space="preserve">ontent </w:t>
      </w:r>
      <w:r w:rsidR="00765120" w:rsidRPr="00474548">
        <w:rPr>
          <w:sz w:val="22"/>
          <w:szCs w:val="22"/>
          <w:lang w:val="en-US"/>
        </w:rPr>
        <w:t>a</w:t>
      </w:r>
      <w:r w:rsidR="00974B08" w:rsidRPr="00474548">
        <w:rPr>
          <w:sz w:val="22"/>
          <w:szCs w:val="22"/>
          <w:lang w:val="en-US"/>
        </w:rPr>
        <w:t xml:space="preserve">nalysis technique. The results suggest that, when classified in event families, the </w:t>
      </w:r>
      <w:r w:rsidR="008D484D" w:rsidRPr="00474548">
        <w:rPr>
          <w:sz w:val="22"/>
          <w:szCs w:val="22"/>
          <w:lang w:val="en-US"/>
        </w:rPr>
        <w:t xml:space="preserve">risk </w:t>
      </w:r>
      <w:r w:rsidR="00974B08" w:rsidRPr="00474548">
        <w:rPr>
          <w:sz w:val="22"/>
          <w:szCs w:val="22"/>
          <w:lang w:val="en-US"/>
        </w:rPr>
        <w:t xml:space="preserve">impact </w:t>
      </w:r>
      <w:r w:rsidR="008D484D" w:rsidRPr="00474548">
        <w:rPr>
          <w:sz w:val="22"/>
          <w:szCs w:val="22"/>
          <w:lang w:val="en-US"/>
        </w:rPr>
        <w:t xml:space="preserve">on shares </w:t>
      </w:r>
      <w:r w:rsidR="00974B08" w:rsidRPr="00474548">
        <w:rPr>
          <w:sz w:val="22"/>
          <w:szCs w:val="22"/>
          <w:lang w:val="en-US"/>
        </w:rPr>
        <w:t>is different and gradual</w:t>
      </w:r>
      <w:r w:rsidR="001632E9" w:rsidRPr="00474548">
        <w:rPr>
          <w:sz w:val="22"/>
          <w:szCs w:val="22"/>
          <w:lang w:val="en-US"/>
        </w:rPr>
        <w:t>. Further,</w:t>
      </w:r>
      <w:r w:rsidR="00974B08" w:rsidRPr="00474548">
        <w:rPr>
          <w:sz w:val="22"/>
          <w:szCs w:val="22"/>
          <w:lang w:val="en-US"/>
        </w:rPr>
        <w:t xml:space="preserve"> the individual analys</w:t>
      </w:r>
      <w:r w:rsidR="001632E9" w:rsidRPr="00474548">
        <w:rPr>
          <w:sz w:val="22"/>
          <w:szCs w:val="22"/>
          <w:lang w:val="en-US"/>
        </w:rPr>
        <w:t>e</w:t>
      </w:r>
      <w:r w:rsidR="00974B08" w:rsidRPr="00474548">
        <w:rPr>
          <w:sz w:val="22"/>
          <w:szCs w:val="22"/>
          <w:lang w:val="en-US"/>
        </w:rPr>
        <w:t xml:space="preserve">s of the different </w:t>
      </w:r>
      <w:r w:rsidR="001632E9" w:rsidRPr="00474548">
        <w:rPr>
          <w:sz w:val="22"/>
          <w:szCs w:val="22"/>
          <w:lang w:val="en-US"/>
        </w:rPr>
        <w:t>t</w:t>
      </w:r>
      <w:r w:rsidR="00974B08" w:rsidRPr="00474548">
        <w:rPr>
          <w:sz w:val="22"/>
          <w:szCs w:val="22"/>
          <w:lang w:val="en-US"/>
        </w:rPr>
        <w:t xml:space="preserve">ypes of </w:t>
      </w:r>
      <w:r w:rsidR="001632E9" w:rsidRPr="00474548">
        <w:rPr>
          <w:sz w:val="22"/>
          <w:szCs w:val="22"/>
          <w:lang w:val="en-US"/>
        </w:rPr>
        <w:t>e</w:t>
      </w:r>
      <w:r w:rsidR="00974B08" w:rsidRPr="00474548">
        <w:rPr>
          <w:sz w:val="22"/>
          <w:szCs w:val="22"/>
          <w:lang w:val="en-US"/>
        </w:rPr>
        <w:t xml:space="preserve">vents, classified according to the </w:t>
      </w:r>
      <w:r w:rsidR="008D484D" w:rsidRPr="00474548">
        <w:rPr>
          <w:sz w:val="22"/>
          <w:szCs w:val="22"/>
          <w:lang w:val="en-US"/>
        </w:rPr>
        <w:t>RC</w:t>
      </w:r>
      <w:r w:rsidR="00974B08" w:rsidRPr="00474548">
        <w:rPr>
          <w:sz w:val="22"/>
          <w:szCs w:val="22"/>
          <w:lang w:val="en-US"/>
        </w:rPr>
        <w:t xml:space="preserve"> </w:t>
      </w:r>
      <w:r w:rsidR="001632E9" w:rsidRPr="00474548">
        <w:rPr>
          <w:sz w:val="22"/>
          <w:szCs w:val="22"/>
          <w:lang w:val="en-US"/>
        </w:rPr>
        <w:t>i</w:t>
      </w:r>
      <w:r w:rsidR="00974B08" w:rsidRPr="00474548">
        <w:rPr>
          <w:sz w:val="22"/>
          <w:szCs w:val="22"/>
          <w:lang w:val="en-US"/>
        </w:rPr>
        <w:t xml:space="preserve">ntensity, show that </w:t>
      </w:r>
      <w:r w:rsidR="001632E9" w:rsidRPr="00474548">
        <w:rPr>
          <w:sz w:val="22"/>
          <w:szCs w:val="22"/>
          <w:lang w:val="en-US"/>
        </w:rPr>
        <w:t>s</w:t>
      </w:r>
      <w:r w:rsidR="00974B08" w:rsidRPr="00474548">
        <w:rPr>
          <w:sz w:val="22"/>
          <w:szCs w:val="22"/>
          <w:lang w:val="en-US"/>
        </w:rPr>
        <w:t xml:space="preserve">trong and </w:t>
      </w:r>
      <w:r w:rsidR="001632E9" w:rsidRPr="00474548">
        <w:rPr>
          <w:sz w:val="22"/>
          <w:szCs w:val="22"/>
          <w:lang w:val="en-US"/>
        </w:rPr>
        <w:t>a</w:t>
      </w:r>
      <w:r w:rsidR="00974B08" w:rsidRPr="00474548">
        <w:rPr>
          <w:sz w:val="22"/>
          <w:szCs w:val="22"/>
          <w:lang w:val="en-US"/>
        </w:rPr>
        <w:t xml:space="preserve">verage </w:t>
      </w:r>
      <w:r w:rsidR="001632E9" w:rsidRPr="00474548">
        <w:rPr>
          <w:sz w:val="22"/>
          <w:szCs w:val="22"/>
          <w:lang w:val="en-US"/>
        </w:rPr>
        <w:t>i</w:t>
      </w:r>
      <w:r w:rsidR="00974B08" w:rsidRPr="00474548">
        <w:rPr>
          <w:sz w:val="22"/>
          <w:szCs w:val="22"/>
          <w:lang w:val="en-US"/>
        </w:rPr>
        <w:t xml:space="preserve">ntensity events </w:t>
      </w:r>
      <w:r w:rsidR="006A66C1" w:rsidRPr="00474548">
        <w:rPr>
          <w:sz w:val="22"/>
          <w:szCs w:val="22"/>
          <w:lang w:val="en-US"/>
        </w:rPr>
        <w:t>have</w:t>
      </w:r>
      <w:r w:rsidR="00974B08" w:rsidRPr="00474548">
        <w:rPr>
          <w:sz w:val="22"/>
          <w:szCs w:val="22"/>
          <w:lang w:val="en-US"/>
        </w:rPr>
        <w:t xml:space="preserve"> </w:t>
      </w:r>
      <w:r w:rsidR="001632E9" w:rsidRPr="00474548">
        <w:rPr>
          <w:sz w:val="22"/>
          <w:szCs w:val="22"/>
          <w:lang w:val="en-US"/>
        </w:rPr>
        <w:t xml:space="preserve">a </w:t>
      </w:r>
      <w:r w:rsidR="00974B08" w:rsidRPr="00474548">
        <w:rPr>
          <w:sz w:val="22"/>
          <w:szCs w:val="22"/>
          <w:lang w:val="en-US"/>
        </w:rPr>
        <w:t xml:space="preserve">higher impact on </w:t>
      </w:r>
      <w:r w:rsidR="00F72179" w:rsidRPr="00474548">
        <w:rPr>
          <w:sz w:val="22"/>
          <w:szCs w:val="22"/>
          <w:lang w:val="en-US"/>
        </w:rPr>
        <w:t xml:space="preserve">the </w:t>
      </w:r>
      <w:r w:rsidR="00974B08" w:rsidRPr="00474548">
        <w:rPr>
          <w:sz w:val="22"/>
          <w:szCs w:val="22"/>
          <w:lang w:val="en-US"/>
        </w:rPr>
        <w:t>risk</w:t>
      </w:r>
      <w:r w:rsidR="00F72179" w:rsidRPr="00474548">
        <w:rPr>
          <w:sz w:val="22"/>
          <w:szCs w:val="22"/>
          <w:lang w:val="en-US"/>
        </w:rPr>
        <w:t xml:space="preserve"> factors</w:t>
      </w:r>
      <w:r w:rsidR="00974B08" w:rsidRPr="00474548">
        <w:rPr>
          <w:sz w:val="22"/>
          <w:szCs w:val="22"/>
          <w:lang w:val="en-US"/>
        </w:rPr>
        <w:t xml:space="preserve"> of shares </w:t>
      </w:r>
      <w:r w:rsidR="00991799" w:rsidRPr="00474548">
        <w:rPr>
          <w:sz w:val="22"/>
          <w:szCs w:val="22"/>
          <w:lang w:val="en-US"/>
        </w:rPr>
        <w:t xml:space="preserve">of the companies </w:t>
      </w:r>
      <w:r w:rsidR="00974B08" w:rsidRPr="00474548">
        <w:rPr>
          <w:sz w:val="22"/>
          <w:szCs w:val="22"/>
          <w:lang w:val="en-US"/>
        </w:rPr>
        <w:t xml:space="preserve">that </w:t>
      </w:r>
      <w:r w:rsidR="00991799" w:rsidRPr="00474548">
        <w:rPr>
          <w:sz w:val="22"/>
          <w:szCs w:val="22"/>
          <w:lang w:val="en-US"/>
        </w:rPr>
        <w:t>constitute</w:t>
      </w:r>
      <w:r w:rsidR="00974B08" w:rsidRPr="00474548">
        <w:rPr>
          <w:sz w:val="22"/>
          <w:szCs w:val="22"/>
          <w:lang w:val="en-US"/>
        </w:rPr>
        <w:t xml:space="preserve"> the sector. Conversely, political or institutional decisions that have </w:t>
      </w:r>
      <w:r w:rsidR="00F72179" w:rsidRPr="00474548">
        <w:rPr>
          <w:sz w:val="22"/>
          <w:szCs w:val="22"/>
          <w:lang w:val="en-US"/>
        </w:rPr>
        <w:t>l</w:t>
      </w:r>
      <w:r w:rsidR="00974B08" w:rsidRPr="00474548">
        <w:rPr>
          <w:sz w:val="22"/>
          <w:szCs w:val="22"/>
          <w:lang w:val="en-US"/>
        </w:rPr>
        <w:t xml:space="preserve">ow </w:t>
      </w:r>
      <w:r w:rsidR="00F72179" w:rsidRPr="00474548">
        <w:rPr>
          <w:sz w:val="22"/>
          <w:szCs w:val="22"/>
          <w:lang w:val="en-US"/>
        </w:rPr>
        <w:t>i</w:t>
      </w:r>
      <w:r w:rsidR="00974B08" w:rsidRPr="00474548">
        <w:rPr>
          <w:sz w:val="22"/>
          <w:szCs w:val="22"/>
          <w:lang w:val="en-US"/>
        </w:rPr>
        <w:t xml:space="preserve">ntensity of </w:t>
      </w:r>
      <w:r w:rsidR="008D484D" w:rsidRPr="00474548">
        <w:rPr>
          <w:sz w:val="22"/>
          <w:szCs w:val="22"/>
          <w:lang w:val="en-US"/>
        </w:rPr>
        <w:t>RC</w:t>
      </w:r>
      <w:r w:rsidR="009F2C79" w:rsidRPr="00474548">
        <w:rPr>
          <w:sz w:val="22"/>
          <w:szCs w:val="22"/>
          <w:lang w:val="en-US"/>
        </w:rPr>
        <w:t xml:space="preserve"> </w:t>
      </w:r>
      <w:r w:rsidR="00974B08" w:rsidRPr="00474548">
        <w:rPr>
          <w:sz w:val="22"/>
          <w:szCs w:val="22"/>
          <w:lang w:val="en-US"/>
        </w:rPr>
        <w:t xml:space="preserve">are not perceived </w:t>
      </w:r>
      <w:r w:rsidR="008D484D" w:rsidRPr="00474548">
        <w:rPr>
          <w:sz w:val="22"/>
          <w:szCs w:val="22"/>
          <w:lang w:val="en-US"/>
        </w:rPr>
        <w:t xml:space="preserve">as </w:t>
      </w:r>
      <w:r w:rsidR="00974B08" w:rsidRPr="00474548">
        <w:rPr>
          <w:sz w:val="22"/>
          <w:szCs w:val="22"/>
          <w:lang w:val="en-US"/>
        </w:rPr>
        <w:t xml:space="preserve">significant </w:t>
      </w:r>
      <w:r w:rsidR="00F72179" w:rsidRPr="00474548">
        <w:rPr>
          <w:sz w:val="22"/>
          <w:szCs w:val="22"/>
          <w:lang w:val="en-US"/>
        </w:rPr>
        <w:t>i</w:t>
      </w:r>
      <w:r w:rsidR="00974B08" w:rsidRPr="00474548">
        <w:rPr>
          <w:sz w:val="22"/>
          <w:szCs w:val="22"/>
          <w:lang w:val="en-US"/>
        </w:rPr>
        <w:t xml:space="preserve">n the market. As research contribution, the results presented confirm that regulatory events must be </w:t>
      </w:r>
      <w:r w:rsidR="006A66C1" w:rsidRPr="00474548">
        <w:rPr>
          <w:sz w:val="22"/>
          <w:szCs w:val="22"/>
          <w:lang w:val="en-US"/>
        </w:rPr>
        <w:t xml:space="preserve">differentiated by </w:t>
      </w:r>
      <w:r w:rsidR="00974B08" w:rsidRPr="00474548">
        <w:rPr>
          <w:sz w:val="22"/>
          <w:szCs w:val="22"/>
          <w:lang w:val="en-US"/>
        </w:rPr>
        <w:t xml:space="preserve">type, since they have </w:t>
      </w:r>
      <w:r w:rsidR="00F72179" w:rsidRPr="00474548">
        <w:rPr>
          <w:sz w:val="22"/>
          <w:szCs w:val="22"/>
          <w:lang w:val="en-US"/>
        </w:rPr>
        <w:t>varying influences</w:t>
      </w:r>
      <w:r w:rsidR="00974B08" w:rsidRPr="00474548">
        <w:rPr>
          <w:sz w:val="22"/>
          <w:szCs w:val="22"/>
          <w:lang w:val="en-US"/>
        </w:rPr>
        <w:t xml:space="preserve"> on regulatory risk. Moreover, </w:t>
      </w:r>
      <w:r w:rsidR="00F72179" w:rsidRPr="00474548">
        <w:rPr>
          <w:sz w:val="22"/>
          <w:szCs w:val="22"/>
          <w:lang w:val="en-US"/>
        </w:rPr>
        <w:t xml:space="preserve">this study demonstrates </w:t>
      </w:r>
      <w:r w:rsidR="00974B08" w:rsidRPr="00474548">
        <w:rPr>
          <w:sz w:val="22"/>
          <w:szCs w:val="22"/>
          <w:lang w:val="en-US"/>
        </w:rPr>
        <w:t xml:space="preserve">that the </w:t>
      </w:r>
      <w:r w:rsidR="008D484D" w:rsidRPr="00474548">
        <w:rPr>
          <w:sz w:val="22"/>
          <w:szCs w:val="22"/>
          <w:lang w:val="en-US"/>
        </w:rPr>
        <w:t>RC</w:t>
      </w:r>
      <w:r w:rsidR="00974B08" w:rsidRPr="00474548">
        <w:rPr>
          <w:sz w:val="22"/>
          <w:szCs w:val="22"/>
          <w:lang w:val="en-US"/>
        </w:rPr>
        <w:t xml:space="preserve"> </w:t>
      </w:r>
      <w:r w:rsidR="00F72179" w:rsidRPr="00474548">
        <w:rPr>
          <w:sz w:val="22"/>
          <w:szCs w:val="22"/>
          <w:lang w:val="en-US"/>
        </w:rPr>
        <w:t>i</w:t>
      </w:r>
      <w:r w:rsidR="00974B08" w:rsidRPr="00474548">
        <w:rPr>
          <w:sz w:val="22"/>
          <w:szCs w:val="22"/>
          <w:lang w:val="en-US"/>
        </w:rPr>
        <w:t>ntensity is important, and in this case, the higher its presence, the greater the impact of the potential risk on the regulated sector</w:t>
      </w:r>
      <w:r w:rsidR="00991799" w:rsidRPr="00474548">
        <w:rPr>
          <w:sz w:val="22"/>
          <w:szCs w:val="22"/>
          <w:lang w:val="en-US"/>
        </w:rPr>
        <w:t>’s</w:t>
      </w:r>
      <w:r w:rsidR="00974B08" w:rsidRPr="00474548">
        <w:rPr>
          <w:sz w:val="22"/>
          <w:szCs w:val="22"/>
          <w:lang w:val="en-US"/>
        </w:rPr>
        <w:t xml:space="preserve"> shares.</w:t>
      </w:r>
    </w:p>
    <w:p w14:paraId="6BA36AA7" w14:textId="77777777" w:rsidR="00415DB4" w:rsidRPr="00474548" w:rsidRDefault="00415DB4" w:rsidP="00401D22">
      <w:pPr>
        <w:autoSpaceDE w:val="0"/>
        <w:autoSpaceDN w:val="0"/>
        <w:adjustRightInd w:val="0"/>
        <w:jc w:val="both"/>
        <w:rPr>
          <w:b/>
          <w:sz w:val="22"/>
          <w:szCs w:val="22"/>
          <w:lang w:val="en-US"/>
        </w:rPr>
      </w:pPr>
    </w:p>
    <w:p w14:paraId="5B195DA5" w14:textId="58DC995C" w:rsidR="005B605A" w:rsidRPr="00474548" w:rsidRDefault="005B605A" w:rsidP="009E7E22">
      <w:pPr>
        <w:autoSpaceDE w:val="0"/>
        <w:autoSpaceDN w:val="0"/>
        <w:adjustRightInd w:val="0"/>
        <w:spacing w:line="360" w:lineRule="auto"/>
        <w:jc w:val="both"/>
        <w:rPr>
          <w:sz w:val="22"/>
          <w:szCs w:val="22"/>
          <w:lang w:val="en-US"/>
        </w:rPr>
      </w:pPr>
      <w:r w:rsidRPr="00474548">
        <w:rPr>
          <w:b/>
          <w:sz w:val="22"/>
          <w:szCs w:val="22"/>
          <w:lang w:val="en-US"/>
        </w:rPr>
        <w:t>Keywords:</w:t>
      </w:r>
      <w:r w:rsidRPr="00474548">
        <w:rPr>
          <w:sz w:val="22"/>
          <w:szCs w:val="22"/>
          <w:lang w:val="en-US"/>
        </w:rPr>
        <w:t xml:space="preserve"> Market Model</w:t>
      </w:r>
      <w:r w:rsidR="00B46EB3" w:rsidRPr="00474548">
        <w:rPr>
          <w:sz w:val="22"/>
          <w:szCs w:val="22"/>
          <w:lang w:val="en-US"/>
        </w:rPr>
        <w:t>,</w:t>
      </w:r>
      <w:r w:rsidR="00F54CA0" w:rsidRPr="00474548">
        <w:rPr>
          <w:sz w:val="22"/>
          <w:szCs w:val="22"/>
          <w:lang w:val="en-US"/>
        </w:rPr>
        <w:t xml:space="preserve"> Capital Asset Pricing Model</w:t>
      </w:r>
      <w:r w:rsidRPr="00474548">
        <w:rPr>
          <w:sz w:val="22"/>
          <w:szCs w:val="22"/>
          <w:lang w:val="en-US"/>
        </w:rPr>
        <w:t xml:space="preserve">, </w:t>
      </w:r>
      <w:proofErr w:type="gramStart"/>
      <w:r w:rsidRPr="00474548">
        <w:rPr>
          <w:sz w:val="22"/>
          <w:szCs w:val="22"/>
          <w:lang w:val="en-US"/>
        </w:rPr>
        <w:t>Laws</w:t>
      </w:r>
      <w:proofErr w:type="gramEnd"/>
    </w:p>
    <w:p w14:paraId="0B480E86" w14:textId="71F22D75" w:rsidR="00FC75F3" w:rsidRPr="00474548" w:rsidRDefault="00415DB4" w:rsidP="009E7E22">
      <w:pPr>
        <w:autoSpaceDE w:val="0"/>
        <w:autoSpaceDN w:val="0"/>
        <w:adjustRightInd w:val="0"/>
        <w:spacing w:line="360" w:lineRule="auto"/>
        <w:jc w:val="both"/>
        <w:rPr>
          <w:rFonts w:eastAsiaTheme="minorEastAsia"/>
          <w:kern w:val="0"/>
          <w:sz w:val="22"/>
          <w:szCs w:val="22"/>
          <w:lang w:val="en-US" w:bidi="ar-SA"/>
        </w:rPr>
      </w:pPr>
      <w:r w:rsidRPr="00474548">
        <w:rPr>
          <w:rFonts w:eastAsiaTheme="minorEastAsia"/>
          <w:b/>
          <w:kern w:val="0"/>
          <w:sz w:val="22"/>
          <w:szCs w:val="22"/>
          <w:lang w:val="en-US" w:bidi="ar-SA"/>
        </w:rPr>
        <w:t>JEL Classifications:</w:t>
      </w:r>
      <w:r w:rsidR="001662D0" w:rsidRPr="00474548">
        <w:rPr>
          <w:rFonts w:eastAsiaTheme="minorEastAsia"/>
          <w:b/>
          <w:kern w:val="0"/>
          <w:sz w:val="22"/>
          <w:szCs w:val="22"/>
          <w:lang w:val="en-US" w:bidi="ar-SA"/>
        </w:rPr>
        <w:t xml:space="preserve"> </w:t>
      </w:r>
      <w:r w:rsidR="001662D0" w:rsidRPr="00474548">
        <w:rPr>
          <w:rFonts w:eastAsiaTheme="minorEastAsia"/>
          <w:kern w:val="0"/>
          <w:sz w:val="22"/>
          <w:szCs w:val="22"/>
          <w:lang w:val="en-US" w:bidi="ar-SA"/>
        </w:rPr>
        <w:t>E3; G38; K23; M48; Q4</w:t>
      </w:r>
    </w:p>
    <w:p w14:paraId="72C6C4A2" w14:textId="77777777" w:rsidR="00972F69" w:rsidRPr="00474548" w:rsidRDefault="00972F69" w:rsidP="009E7E22">
      <w:pPr>
        <w:autoSpaceDE w:val="0"/>
        <w:autoSpaceDN w:val="0"/>
        <w:adjustRightInd w:val="0"/>
        <w:spacing w:line="360" w:lineRule="auto"/>
        <w:jc w:val="both"/>
        <w:rPr>
          <w:rFonts w:eastAsiaTheme="minorEastAsia"/>
          <w:kern w:val="0"/>
          <w:sz w:val="22"/>
          <w:szCs w:val="22"/>
          <w:lang w:val="en-US" w:bidi="ar-SA"/>
        </w:rPr>
      </w:pPr>
    </w:p>
    <w:p w14:paraId="0B9317A5" w14:textId="34660450" w:rsidR="009B6518" w:rsidRPr="00474548" w:rsidRDefault="005B605A" w:rsidP="00FC75F3">
      <w:pPr>
        <w:pStyle w:val="Heading1"/>
        <w:spacing w:before="0" w:after="0"/>
        <w:rPr>
          <w:sz w:val="22"/>
          <w:szCs w:val="22"/>
          <w:lang w:val="en-US"/>
        </w:rPr>
      </w:pPr>
      <w:bookmarkStart w:id="0" w:name="_Toc389514241"/>
      <w:bookmarkStart w:id="1" w:name="_Toc391473678"/>
      <w:r w:rsidRPr="00474548">
        <w:rPr>
          <w:sz w:val="22"/>
          <w:szCs w:val="22"/>
          <w:lang w:val="en-US"/>
        </w:rPr>
        <w:t>INTRODUCTION</w:t>
      </w:r>
      <w:bookmarkEnd w:id="0"/>
      <w:bookmarkEnd w:id="1"/>
    </w:p>
    <w:p w14:paraId="48C04369" w14:textId="46EDEF2A" w:rsidR="00671635" w:rsidRPr="00474548" w:rsidRDefault="00CB2436" w:rsidP="00FC75F3">
      <w:pPr>
        <w:ind w:firstLine="709"/>
        <w:jc w:val="both"/>
        <w:rPr>
          <w:rFonts w:eastAsiaTheme="minorEastAsia"/>
          <w:color w:val="1A1A1A"/>
          <w:kern w:val="0"/>
          <w:sz w:val="22"/>
          <w:szCs w:val="22"/>
          <w:lang w:val="en-US"/>
        </w:rPr>
      </w:pPr>
      <w:r w:rsidRPr="00474548">
        <w:rPr>
          <w:sz w:val="22"/>
          <w:szCs w:val="22"/>
          <w:lang w:val="en-US"/>
        </w:rPr>
        <w:t>A</w:t>
      </w:r>
      <w:r w:rsidR="00012261" w:rsidRPr="00474548">
        <w:rPr>
          <w:sz w:val="22"/>
          <w:szCs w:val="22"/>
          <w:lang w:val="en-US"/>
        </w:rPr>
        <w:t xml:space="preserve">s a developing country, </w:t>
      </w:r>
      <w:r w:rsidRPr="00474548">
        <w:rPr>
          <w:sz w:val="22"/>
          <w:szCs w:val="22"/>
          <w:lang w:val="en-US"/>
        </w:rPr>
        <w:t xml:space="preserve">Brazil </w:t>
      </w:r>
      <w:r w:rsidR="00012261" w:rsidRPr="00474548">
        <w:rPr>
          <w:sz w:val="22"/>
          <w:szCs w:val="22"/>
          <w:lang w:val="en-US"/>
        </w:rPr>
        <w:t xml:space="preserve">increasingly </w:t>
      </w:r>
      <w:r w:rsidR="00D909C6" w:rsidRPr="00474548">
        <w:rPr>
          <w:sz w:val="22"/>
          <w:szCs w:val="22"/>
          <w:lang w:val="en-US"/>
        </w:rPr>
        <w:t xml:space="preserve">stands out on the world stage by positioning itself among the major world markets, </w:t>
      </w:r>
      <w:r w:rsidRPr="00474548">
        <w:rPr>
          <w:sz w:val="22"/>
          <w:szCs w:val="22"/>
          <w:lang w:val="en-US"/>
        </w:rPr>
        <w:t>showing</w:t>
      </w:r>
      <w:r w:rsidR="00D909C6" w:rsidRPr="00474548">
        <w:rPr>
          <w:sz w:val="22"/>
          <w:szCs w:val="22"/>
          <w:lang w:val="en-US"/>
        </w:rPr>
        <w:t xml:space="preserve"> significant </w:t>
      </w:r>
      <w:r w:rsidRPr="00474548">
        <w:rPr>
          <w:sz w:val="22"/>
          <w:szCs w:val="22"/>
          <w:lang w:val="en-US"/>
        </w:rPr>
        <w:t xml:space="preserve">current </w:t>
      </w:r>
      <w:r w:rsidR="00D909C6" w:rsidRPr="00474548">
        <w:rPr>
          <w:sz w:val="22"/>
          <w:szCs w:val="22"/>
          <w:lang w:val="en-US"/>
        </w:rPr>
        <w:t>growth (OECD, 2014)</w:t>
      </w:r>
      <w:r w:rsidR="00D909C6" w:rsidRPr="00474548">
        <w:rPr>
          <w:rFonts w:eastAsiaTheme="minorEastAsia"/>
          <w:color w:val="1A1A1A"/>
          <w:kern w:val="0"/>
          <w:sz w:val="22"/>
          <w:szCs w:val="22"/>
          <w:lang w:val="en-US"/>
        </w:rPr>
        <w:t xml:space="preserve">. In the energy sector, Brazil </w:t>
      </w:r>
      <w:r w:rsidR="00012261" w:rsidRPr="00474548">
        <w:rPr>
          <w:rFonts w:eastAsiaTheme="minorEastAsia"/>
          <w:color w:val="1A1A1A"/>
          <w:kern w:val="0"/>
          <w:sz w:val="22"/>
          <w:szCs w:val="22"/>
          <w:lang w:val="en-US"/>
        </w:rPr>
        <w:t>shows</w:t>
      </w:r>
      <w:r w:rsidR="00D909C6" w:rsidRPr="00474548">
        <w:rPr>
          <w:rFonts w:eastAsiaTheme="minorEastAsia"/>
          <w:color w:val="1A1A1A"/>
          <w:kern w:val="0"/>
          <w:sz w:val="22"/>
          <w:szCs w:val="22"/>
          <w:lang w:val="en-US"/>
        </w:rPr>
        <w:t xml:space="preserve"> promis</w:t>
      </w:r>
      <w:r w:rsidR="00012261" w:rsidRPr="00474548">
        <w:rPr>
          <w:rFonts w:eastAsiaTheme="minorEastAsia"/>
          <w:color w:val="1A1A1A"/>
          <w:kern w:val="0"/>
          <w:sz w:val="22"/>
          <w:szCs w:val="22"/>
          <w:lang w:val="en-US"/>
        </w:rPr>
        <w:t>e</w:t>
      </w:r>
      <w:r w:rsidR="00D909C6" w:rsidRPr="00474548">
        <w:rPr>
          <w:rFonts w:eastAsiaTheme="minorEastAsia"/>
          <w:color w:val="1A1A1A"/>
          <w:kern w:val="0"/>
          <w:sz w:val="22"/>
          <w:szCs w:val="22"/>
          <w:lang w:val="en-US"/>
        </w:rPr>
        <w:t xml:space="preserve"> in terms of growth (Andrade </w:t>
      </w:r>
      <w:proofErr w:type="spellStart"/>
      <w:r w:rsidR="00D909C6" w:rsidRPr="00474548">
        <w:rPr>
          <w:rFonts w:eastAsiaTheme="minorEastAsia"/>
          <w:color w:val="1A1A1A"/>
          <w:kern w:val="0"/>
          <w:sz w:val="22"/>
          <w:szCs w:val="22"/>
          <w:lang w:val="en-US"/>
        </w:rPr>
        <w:t>Gerra</w:t>
      </w:r>
      <w:proofErr w:type="spellEnd"/>
      <w:r w:rsidR="00D909C6" w:rsidRPr="00474548">
        <w:rPr>
          <w:rFonts w:eastAsiaTheme="minorEastAsia"/>
          <w:color w:val="1A1A1A"/>
          <w:kern w:val="0"/>
          <w:sz w:val="22"/>
          <w:szCs w:val="22"/>
          <w:lang w:val="en-US"/>
        </w:rPr>
        <w:t xml:space="preserve"> et al</w:t>
      </w:r>
      <w:r w:rsidR="00F54CA0" w:rsidRPr="00474548">
        <w:rPr>
          <w:rFonts w:eastAsiaTheme="minorEastAsia"/>
          <w:color w:val="1A1A1A"/>
          <w:kern w:val="0"/>
          <w:sz w:val="22"/>
          <w:szCs w:val="22"/>
          <w:lang w:val="en-US"/>
        </w:rPr>
        <w:t>.</w:t>
      </w:r>
      <w:r w:rsidR="00D909C6" w:rsidRPr="00474548">
        <w:rPr>
          <w:rFonts w:eastAsiaTheme="minorEastAsia"/>
          <w:color w:val="1A1A1A"/>
          <w:kern w:val="0"/>
          <w:sz w:val="22"/>
          <w:szCs w:val="22"/>
          <w:lang w:val="en-US"/>
        </w:rPr>
        <w:t xml:space="preserve">, 2014) </w:t>
      </w:r>
      <w:r w:rsidRPr="00474548">
        <w:rPr>
          <w:rFonts w:eastAsiaTheme="minorEastAsia"/>
          <w:color w:val="1A1A1A"/>
          <w:kern w:val="0"/>
          <w:sz w:val="22"/>
          <w:szCs w:val="22"/>
          <w:lang w:val="en-US"/>
        </w:rPr>
        <w:t xml:space="preserve">achieved over the last decade </w:t>
      </w:r>
      <w:r w:rsidR="00D909C6" w:rsidRPr="00474548">
        <w:rPr>
          <w:rFonts w:eastAsiaTheme="minorEastAsia"/>
          <w:color w:val="1A1A1A"/>
          <w:kern w:val="0"/>
          <w:sz w:val="22"/>
          <w:szCs w:val="22"/>
          <w:lang w:val="en-US"/>
        </w:rPr>
        <w:t xml:space="preserve">among </w:t>
      </w:r>
      <w:r w:rsidRPr="00474548">
        <w:rPr>
          <w:rFonts w:eastAsiaTheme="minorEastAsia"/>
          <w:color w:val="1A1A1A"/>
          <w:kern w:val="0"/>
          <w:sz w:val="22"/>
          <w:szCs w:val="22"/>
          <w:lang w:val="en-US"/>
        </w:rPr>
        <w:t xml:space="preserve">all </w:t>
      </w:r>
      <w:r w:rsidR="00D909C6" w:rsidRPr="00474548">
        <w:rPr>
          <w:rFonts w:eastAsiaTheme="minorEastAsia"/>
          <w:color w:val="1A1A1A"/>
          <w:kern w:val="0"/>
          <w:sz w:val="22"/>
          <w:szCs w:val="22"/>
          <w:lang w:val="en-US"/>
        </w:rPr>
        <w:t xml:space="preserve">member countries of the Organization for Economic Cooperation and Development (OECD). </w:t>
      </w:r>
      <w:r w:rsidR="00D909C6" w:rsidRPr="00474548">
        <w:rPr>
          <w:sz w:val="22"/>
          <w:szCs w:val="22"/>
          <w:lang w:val="en-US"/>
        </w:rPr>
        <w:t>In terms of electricity generation, the country went from 51.6 Terawatt hours (</w:t>
      </w:r>
      <w:proofErr w:type="spellStart"/>
      <w:r w:rsidR="00D909C6" w:rsidRPr="00474548">
        <w:rPr>
          <w:sz w:val="22"/>
          <w:szCs w:val="22"/>
          <w:lang w:val="en-US"/>
        </w:rPr>
        <w:t>TWh</w:t>
      </w:r>
      <w:proofErr w:type="spellEnd"/>
      <w:r w:rsidR="00D909C6" w:rsidRPr="00474548">
        <w:rPr>
          <w:sz w:val="22"/>
          <w:szCs w:val="22"/>
          <w:lang w:val="en-US"/>
        </w:rPr>
        <w:t>) in</w:t>
      </w:r>
      <w:r w:rsidR="001662D0" w:rsidRPr="00474548">
        <w:rPr>
          <w:sz w:val="22"/>
          <w:szCs w:val="22"/>
          <w:lang w:val="en-US"/>
        </w:rPr>
        <w:t xml:space="preserve"> 1971 to 531,</w:t>
      </w:r>
      <w:r w:rsidR="00D909C6" w:rsidRPr="00474548">
        <w:rPr>
          <w:sz w:val="22"/>
          <w:szCs w:val="22"/>
          <w:lang w:val="en-US"/>
        </w:rPr>
        <w:t xml:space="preserve">8 </w:t>
      </w:r>
      <w:proofErr w:type="spellStart"/>
      <w:r w:rsidR="00D909C6" w:rsidRPr="00474548">
        <w:rPr>
          <w:sz w:val="22"/>
          <w:szCs w:val="22"/>
          <w:lang w:val="en-US"/>
        </w:rPr>
        <w:t>TWh</w:t>
      </w:r>
      <w:proofErr w:type="spellEnd"/>
      <w:r w:rsidR="00D909C6" w:rsidRPr="00474548">
        <w:rPr>
          <w:sz w:val="22"/>
          <w:szCs w:val="22"/>
          <w:lang w:val="en-US"/>
        </w:rPr>
        <w:t xml:space="preserve"> in 2011, </w:t>
      </w:r>
      <w:r w:rsidR="00B46EB3" w:rsidRPr="00474548">
        <w:rPr>
          <w:sz w:val="22"/>
          <w:szCs w:val="22"/>
          <w:lang w:val="en-US"/>
        </w:rPr>
        <w:t xml:space="preserve">showing </w:t>
      </w:r>
      <w:r w:rsidR="001662D0" w:rsidRPr="00474548">
        <w:rPr>
          <w:sz w:val="22"/>
          <w:szCs w:val="22"/>
          <w:lang w:val="en-US"/>
        </w:rPr>
        <w:t>an increase of 930,</w:t>
      </w:r>
      <w:r w:rsidR="00D909C6" w:rsidRPr="00474548">
        <w:rPr>
          <w:sz w:val="22"/>
          <w:szCs w:val="22"/>
          <w:lang w:val="en-US"/>
        </w:rPr>
        <w:t>77%</w:t>
      </w:r>
      <w:r w:rsidR="00D909C6" w:rsidRPr="00474548">
        <w:rPr>
          <w:rFonts w:eastAsiaTheme="minorEastAsia"/>
          <w:color w:val="1A1A1A"/>
          <w:kern w:val="0"/>
          <w:sz w:val="22"/>
          <w:szCs w:val="22"/>
          <w:lang w:val="en-US"/>
        </w:rPr>
        <w:t xml:space="preserve">. In this context, </w:t>
      </w:r>
      <w:r w:rsidR="00D44EF0" w:rsidRPr="00474548">
        <w:rPr>
          <w:rFonts w:eastAsiaTheme="minorEastAsia"/>
          <w:color w:val="1A1A1A"/>
          <w:kern w:val="0"/>
          <w:sz w:val="22"/>
          <w:szCs w:val="22"/>
          <w:lang w:val="en-US"/>
        </w:rPr>
        <w:t xml:space="preserve">the </w:t>
      </w:r>
      <w:r w:rsidR="00D909C6" w:rsidRPr="00474548">
        <w:rPr>
          <w:rFonts w:eastAsiaTheme="minorEastAsia"/>
          <w:color w:val="1A1A1A"/>
          <w:kern w:val="0"/>
          <w:sz w:val="22"/>
          <w:szCs w:val="22"/>
          <w:lang w:val="en-US"/>
        </w:rPr>
        <w:t xml:space="preserve">consumption </w:t>
      </w:r>
      <w:r w:rsidR="00D44EF0" w:rsidRPr="00474548">
        <w:rPr>
          <w:rFonts w:eastAsiaTheme="minorEastAsia"/>
          <w:color w:val="1A1A1A"/>
          <w:kern w:val="0"/>
          <w:sz w:val="22"/>
          <w:szCs w:val="22"/>
          <w:lang w:val="en-US"/>
        </w:rPr>
        <w:t xml:space="preserve">of electricity </w:t>
      </w:r>
      <w:r w:rsidR="00D909C6" w:rsidRPr="00474548">
        <w:rPr>
          <w:rFonts w:eastAsiaTheme="minorEastAsia"/>
          <w:color w:val="1A1A1A"/>
          <w:kern w:val="0"/>
          <w:sz w:val="22"/>
          <w:szCs w:val="22"/>
          <w:lang w:val="en-US"/>
        </w:rPr>
        <w:t>ha</w:t>
      </w:r>
      <w:r w:rsidR="00D44EF0" w:rsidRPr="00474548">
        <w:rPr>
          <w:rFonts w:eastAsiaTheme="minorEastAsia"/>
          <w:color w:val="1A1A1A"/>
          <w:kern w:val="0"/>
          <w:sz w:val="22"/>
          <w:szCs w:val="22"/>
          <w:lang w:val="en-US"/>
        </w:rPr>
        <w:t>s</w:t>
      </w:r>
      <w:r w:rsidR="00D909C6" w:rsidRPr="00474548">
        <w:rPr>
          <w:rFonts w:eastAsiaTheme="minorEastAsia"/>
          <w:color w:val="1A1A1A"/>
          <w:kern w:val="0"/>
          <w:sz w:val="22"/>
          <w:szCs w:val="22"/>
          <w:lang w:val="en-US"/>
        </w:rPr>
        <w:t xml:space="preserve"> increased significantly in recent decades, mainly due to the </w:t>
      </w:r>
      <w:r w:rsidR="00B46EB3" w:rsidRPr="00474548">
        <w:rPr>
          <w:rFonts w:eastAsiaTheme="minorEastAsia"/>
          <w:color w:val="1A1A1A"/>
          <w:kern w:val="0"/>
          <w:sz w:val="22"/>
          <w:szCs w:val="22"/>
          <w:lang w:val="en-US"/>
        </w:rPr>
        <w:t>increase in</w:t>
      </w:r>
      <w:r w:rsidR="00D909C6" w:rsidRPr="00474548">
        <w:rPr>
          <w:rFonts w:eastAsiaTheme="minorEastAsia"/>
          <w:color w:val="1A1A1A"/>
          <w:kern w:val="0"/>
          <w:sz w:val="22"/>
          <w:szCs w:val="22"/>
          <w:lang w:val="en-US"/>
        </w:rPr>
        <w:t xml:space="preserve"> </w:t>
      </w:r>
      <w:r w:rsidR="00012261" w:rsidRPr="00474548">
        <w:rPr>
          <w:rFonts w:eastAsiaTheme="minorEastAsia"/>
          <w:color w:val="1A1A1A"/>
          <w:kern w:val="0"/>
          <w:sz w:val="22"/>
          <w:szCs w:val="22"/>
          <w:lang w:val="en-US"/>
        </w:rPr>
        <w:t xml:space="preserve">the </w:t>
      </w:r>
      <w:r w:rsidR="00D909C6" w:rsidRPr="00474548">
        <w:rPr>
          <w:rFonts w:eastAsiaTheme="minorEastAsia"/>
          <w:color w:val="1A1A1A"/>
          <w:kern w:val="0"/>
          <w:sz w:val="22"/>
          <w:szCs w:val="22"/>
          <w:lang w:val="en-US"/>
        </w:rPr>
        <w:t>Gross Domestic Product (GDP) and population growth (OECD, 2014).</w:t>
      </w:r>
    </w:p>
    <w:p w14:paraId="020D0011" w14:textId="52B3500F" w:rsidR="009245B2" w:rsidRPr="00474548" w:rsidRDefault="00D909C6" w:rsidP="008E6F8E">
      <w:pPr>
        <w:ind w:firstLine="709"/>
        <w:jc w:val="both"/>
        <w:rPr>
          <w:rFonts w:eastAsiaTheme="minorEastAsia"/>
          <w:color w:val="1A1A1A"/>
          <w:kern w:val="0"/>
          <w:sz w:val="22"/>
          <w:szCs w:val="22"/>
          <w:lang w:val="en-US"/>
        </w:rPr>
      </w:pPr>
      <w:r w:rsidRPr="00474548">
        <w:rPr>
          <w:rFonts w:eastAsiaTheme="minorEastAsia"/>
          <w:color w:val="1A1A1A"/>
          <w:kern w:val="0"/>
          <w:sz w:val="22"/>
          <w:szCs w:val="22"/>
          <w:lang w:val="en-US"/>
        </w:rPr>
        <w:t xml:space="preserve">Power consumption is an important indicator in revealing </w:t>
      </w:r>
      <w:r w:rsidR="00012261" w:rsidRPr="00474548">
        <w:rPr>
          <w:rFonts w:eastAsiaTheme="minorEastAsia"/>
          <w:color w:val="1A1A1A"/>
          <w:kern w:val="0"/>
          <w:sz w:val="22"/>
          <w:szCs w:val="22"/>
          <w:lang w:val="en-US"/>
        </w:rPr>
        <w:t>s</w:t>
      </w:r>
      <w:r w:rsidR="00577D39" w:rsidRPr="00474548">
        <w:rPr>
          <w:rFonts w:eastAsiaTheme="minorEastAsia"/>
          <w:color w:val="1A1A1A"/>
          <w:kern w:val="0"/>
          <w:sz w:val="22"/>
          <w:szCs w:val="22"/>
          <w:lang w:val="en-US"/>
        </w:rPr>
        <w:t>ocieties</w:t>
      </w:r>
      <w:r w:rsidRPr="00474548">
        <w:rPr>
          <w:rFonts w:eastAsiaTheme="minorEastAsia"/>
          <w:color w:val="1A1A1A"/>
          <w:kern w:val="0"/>
          <w:sz w:val="22"/>
          <w:szCs w:val="22"/>
          <w:lang w:val="en-US"/>
        </w:rPr>
        <w:t xml:space="preserve"> development stages and</w:t>
      </w:r>
      <w:r w:rsidR="00012261" w:rsidRPr="00474548">
        <w:rPr>
          <w:rFonts w:eastAsiaTheme="minorEastAsia"/>
          <w:color w:val="1A1A1A"/>
          <w:kern w:val="0"/>
          <w:sz w:val="22"/>
          <w:szCs w:val="22"/>
          <w:lang w:val="en-US"/>
        </w:rPr>
        <w:t xml:space="preserve"> </w:t>
      </w:r>
      <w:r w:rsidRPr="00474548">
        <w:rPr>
          <w:rFonts w:eastAsiaTheme="minorEastAsia"/>
          <w:color w:val="1A1A1A"/>
          <w:kern w:val="0"/>
          <w:sz w:val="22"/>
          <w:szCs w:val="22"/>
          <w:lang w:val="en-US"/>
        </w:rPr>
        <w:t>standards in the world</w:t>
      </w:r>
      <w:r w:rsidR="005D1E75" w:rsidRPr="00474548">
        <w:rPr>
          <w:rFonts w:eastAsiaTheme="minorEastAsia"/>
          <w:color w:val="1A1A1A"/>
          <w:kern w:val="0"/>
          <w:sz w:val="22"/>
          <w:szCs w:val="22"/>
          <w:lang w:val="en-US"/>
        </w:rPr>
        <w:t xml:space="preserve"> (</w:t>
      </w:r>
      <w:r w:rsidR="005D1E75" w:rsidRPr="00474548">
        <w:rPr>
          <w:rFonts w:eastAsiaTheme="minorEastAsia"/>
          <w:kern w:val="0"/>
          <w:sz w:val="22"/>
          <w:szCs w:val="22"/>
          <w:lang w:val="en-US" w:bidi="ar-SA"/>
        </w:rPr>
        <w:t>Fullerton et al., 2014)</w:t>
      </w:r>
      <w:r w:rsidRPr="00474548">
        <w:rPr>
          <w:rFonts w:eastAsiaTheme="minorEastAsia"/>
          <w:color w:val="1A1A1A"/>
          <w:kern w:val="0"/>
          <w:sz w:val="22"/>
          <w:szCs w:val="22"/>
          <w:lang w:val="en-US"/>
        </w:rPr>
        <w:t xml:space="preserve">. </w:t>
      </w:r>
      <w:r w:rsidR="00124EEC" w:rsidRPr="00474548">
        <w:rPr>
          <w:sz w:val="22"/>
          <w:szCs w:val="22"/>
          <w:lang w:val="en-US"/>
        </w:rPr>
        <w:t>Often, most of the consumption in developed and developing countries takes place in the industrial sector (</w:t>
      </w:r>
      <w:proofErr w:type="spellStart"/>
      <w:r w:rsidR="00124EEC" w:rsidRPr="00474548">
        <w:rPr>
          <w:sz w:val="22"/>
          <w:szCs w:val="22"/>
          <w:lang w:val="en-US"/>
        </w:rPr>
        <w:t>Pottmaier</w:t>
      </w:r>
      <w:proofErr w:type="spellEnd"/>
      <w:r w:rsidR="00124EEC" w:rsidRPr="00474548">
        <w:rPr>
          <w:sz w:val="22"/>
          <w:szCs w:val="22"/>
          <w:lang w:val="en-US"/>
        </w:rPr>
        <w:t xml:space="preserve"> et al., 2013)</w:t>
      </w:r>
      <w:r w:rsidR="00124EEC" w:rsidRPr="00474548">
        <w:rPr>
          <w:rFonts w:eastAsiaTheme="minorEastAsia"/>
          <w:color w:val="1A1A1A"/>
          <w:kern w:val="0"/>
          <w:sz w:val="22"/>
          <w:szCs w:val="22"/>
          <w:lang w:val="en-US"/>
        </w:rPr>
        <w:t xml:space="preserve">. </w:t>
      </w:r>
      <w:r w:rsidRPr="00474548">
        <w:rPr>
          <w:sz w:val="22"/>
          <w:szCs w:val="22"/>
          <w:lang w:val="en-US"/>
        </w:rPr>
        <w:t xml:space="preserve">Electricity is the backbone of many companies, </w:t>
      </w:r>
      <w:r w:rsidR="00D44EF0" w:rsidRPr="00474548">
        <w:rPr>
          <w:sz w:val="22"/>
          <w:szCs w:val="22"/>
          <w:lang w:val="en-US"/>
        </w:rPr>
        <w:t xml:space="preserve">and it </w:t>
      </w:r>
      <w:r w:rsidRPr="00474548">
        <w:rPr>
          <w:sz w:val="22"/>
          <w:szCs w:val="22"/>
          <w:lang w:val="en-US"/>
        </w:rPr>
        <w:t>currently represent</w:t>
      </w:r>
      <w:r w:rsidR="00D44EF0" w:rsidRPr="00474548">
        <w:rPr>
          <w:sz w:val="22"/>
          <w:szCs w:val="22"/>
          <w:lang w:val="en-US"/>
        </w:rPr>
        <w:t>s</w:t>
      </w:r>
      <w:r w:rsidRPr="00474548">
        <w:rPr>
          <w:sz w:val="22"/>
          <w:szCs w:val="22"/>
          <w:lang w:val="en-US"/>
        </w:rPr>
        <w:t xml:space="preserve"> 17% of </w:t>
      </w:r>
      <w:r w:rsidR="005F245D" w:rsidRPr="00474548">
        <w:rPr>
          <w:sz w:val="22"/>
          <w:szCs w:val="22"/>
          <w:lang w:val="en-US"/>
        </w:rPr>
        <w:t xml:space="preserve">the total </w:t>
      </w:r>
      <w:r w:rsidRPr="00474548">
        <w:rPr>
          <w:sz w:val="22"/>
          <w:szCs w:val="22"/>
          <w:lang w:val="en-US"/>
        </w:rPr>
        <w:t xml:space="preserve">global </w:t>
      </w:r>
      <w:r w:rsidR="005F245D" w:rsidRPr="00474548">
        <w:rPr>
          <w:sz w:val="22"/>
          <w:szCs w:val="22"/>
          <w:lang w:val="en-US"/>
        </w:rPr>
        <w:t xml:space="preserve">energy </w:t>
      </w:r>
      <w:r w:rsidRPr="00474548">
        <w:rPr>
          <w:sz w:val="22"/>
          <w:szCs w:val="22"/>
          <w:lang w:val="en-US"/>
        </w:rPr>
        <w:t>demand</w:t>
      </w:r>
      <w:r w:rsidR="005F245D" w:rsidRPr="00474548">
        <w:rPr>
          <w:sz w:val="22"/>
          <w:szCs w:val="22"/>
          <w:lang w:val="en-US"/>
        </w:rPr>
        <w:t>,</w:t>
      </w:r>
      <w:r w:rsidRPr="00474548">
        <w:rPr>
          <w:sz w:val="22"/>
          <w:szCs w:val="22"/>
          <w:lang w:val="en-US"/>
        </w:rPr>
        <w:t xml:space="preserve"> with </w:t>
      </w:r>
      <w:r w:rsidR="005F245D" w:rsidRPr="00474548">
        <w:rPr>
          <w:sz w:val="22"/>
          <w:szCs w:val="22"/>
          <w:lang w:val="en-US"/>
        </w:rPr>
        <w:t xml:space="preserve">a </w:t>
      </w:r>
      <w:r w:rsidRPr="00474548">
        <w:rPr>
          <w:sz w:val="22"/>
          <w:szCs w:val="22"/>
          <w:lang w:val="en-US"/>
        </w:rPr>
        <w:t xml:space="preserve">forecast to </w:t>
      </w:r>
      <w:r w:rsidR="005F245D" w:rsidRPr="00474548">
        <w:rPr>
          <w:sz w:val="22"/>
          <w:szCs w:val="22"/>
          <w:lang w:val="en-US"/>
        </w:rPr>
        <w:t xml:space="preserve">reach </w:t>
      </w:r>
      <w:r w:rsidRPr="00474548">
        <w:rPr>
          <w:sz w:val="22"/>
          <w:szCs w:val="22"/>
          <w:lang w:val="en-US"/>
        </w:rPr>
        <w:t>23% by 2050 (IEA, 2010). To meet the growing demand, the power sector requires infrastructure expansion and technological development, which can only be supported with the participation of private capital (</w:t>
      </w:r>
      <w:proofErr w:type="spellStart"/>
      <w:r w:rsidR="00967FCE" w:rsidRPr="00474548">
        <w:rPr>
          <w:sz w:val="22"/>
          <w:szCs w:val="22"/>
          <w:lang w:val="en-US"/>
        </w:rPr>
        <w:t>Xiong</w:t>
      </w:r>
      <w:proofErr w:type="spellEnd"/>
      <w:r w:rsidR="00967FCE" w:rsidRPr="00474548">
        <w:rPr>
          <w:sz w:val="22"/>
          <w:szCs w:val="22"/>
          <w:lang w:val="en-US"/>
        </w:rPr>
        <w:t xml:space="preserve"> et al., 2013; </w:t>
      </w:r>
      <w:r w:rsidR="00690B0E" w:rsidRPr="00474548">
        <w:rPr>
          <w:sz w:val="22"/>
          <w:szCs w:val="22"/>
          <w:lang w:val="en-US"/>
        </w:rPr>
        <w:t xml:space="preserve">Arroyo et al., 2014; </w:t>
      </w:r>
      <w:proofErr w:type="spellStart"/>
      <w:r w:rsidR="00967FCE" w:rsidRPr="00474548">
        <w:rPr>
          <w:sz w:val="22"/>
          <w:szCs w:val="22"/>
          <w:lang w:val="en-US"/>
        </w:rPr>
        <w:t>Coskun</w:t>
      </w:r>
      <w:proofErr w:type="spellEnd"/>
      <w:r w:rsidR="00967FCE" w:rsidRPr="00474548">
        <w:rPr>
          <w:sz w:val="22"/>
          <w:szCs w:val="22"/>
          <w:lang w:val="en-US"/>
        </w:rPr>
        <w:t xml:space="preserve"> and </w:t>
      </w:r>
      <w:proofErr w:type="spellStart"/>
      <w:r w:rsidR="00967FCE" w:rsidRPr="00474548">
        <w:rPr>
          <w:sz w:val="22"/>
          <w:szCs w:val="22"/>
          <w:lang w:val="en-US"/>
        </w:rPr>
        <w:t>Huseyin</w:t>
      </w:r>
      <w:proofErr w:type="spellEnd"/>
      <w:r w:rsidR="00967FCE" w:rsidRPr="00474548">
        <w:rPr>
          <w:sz w:val="22"/>
          <w:szCs w:val="22"/>
          <w:lang w:val="en-US"/>
        </w:rPr>
        <w:t>, 2014</w:t>
      </w:r>
      <w:r w:rsidRPr="00474548">
        <w:rPr>
          <w:sz w:val="22"/>
          <w:szCs w:val="22"/>
          <w:lang w:val="en-US"/>
        </w:rPr>
        <w:t xml:space="preserve">). For this to happen, it is necessary </w:t>
      </w:r>
      <w:r w:rsidR="004430CF" w:rsidRPr="00474548">
        <w:rPr>
          <w:sz w:val="22"/>
          <w:szCs w:val="22"/>
          <w:lang w:val="en-US"/>
        </w:rPr>
        <w:t>for</w:t>
      </w:r>
      <w:r w:rsidRPr="00474548">
        <w:rPr>
          <w:sz w:val="22"/>
          <w:szCs w:val="22"/>
          <w:lang w:val="en-US"/>
        </w:rPr>
        <w:t xml:space="preserve"> the governments t</w:t>
      </w:r>
      <w:r w:rsidR="004430CF" w:rsidRPr="00474548">
        <w:rPr>
          <w:sz w:val="22"/>
          <w:szCs w:val="22"/>
          <w:lang w:val="en-US"/>
        </w:rPr>
        <w:t>o m</w:t>
      </w:r>
      <w:r w:rsidRPr="00474548">
        <w:rPr>
          <w:sz w:val="22"/>
          <w:szCs w:val="22"/>
          <w:lang w:val="en-US"/>
        </w:rPr>
        <w:t xml:space="preserve">ake long-term commitments and </w:t>
      </w:r>
      <w:r w:rsidR="004430CF" w:rsidRPr="00474548">
        <w:rPr>
          <w:sz w:val="22"/>
          <w:szCs w:val="22"/>
          <w:lang w:val="en-US"/>
        </w:rPr>
        <w:t xml:space="preserve">for </w:t>
      </w:r>
      <w:r w:rsidRPr="00474548">
        <w:rPr>
          <w:sz w:val="22"/>
          <w:szCs w:val="22"/>
          <w:lang w:val="en-US"/>
        </w:rPr>
        <w:t xml:space="preserve">the political situation </w:t>
      </w:r>
      <w:r w:rsidR="004430CF" w:rsidRPr="00474548">
        <w:rPr>
          <w:sz w:val="22"/>
          <w:szCs w:val="22"/>
          <w:lang w:val="en-US"/>
        </w:rPr>
        <w:t>to be</w:t>
      </w:r>
      <w:r w:rsidRPr="00474548">
        <w:rPr>
          <w:sz w:val="22"/>
          <w:szCs w:val="22"/>
          <w:lang w:val="en-US"/>
        </w:rPr>
        <w:t xml:space="preserve"> deemed stable and predictable (IEA, 2010; Gomes et al., 2014). </w:t>
      </w:r>
    </w:p>
    <w:p w14:paraId="28FE6B6F" w14:textId="742E470D" w:rsidR="005B605A" w:rsidRPr="00474548" w:rsidRDefault="00E260B5" w:rsidP="008E6F8E">
      <w:pPr>
        <w:pStyle w:val="ListParagraph"/>
        <w:ind w:left="0" w:firstLine="708"/>
        <w:jc w:val="both"/>
        <w:rPr>
          <w:sz w:val="22"/>
          <w:szCs w:val="22"/>
          <w:lang w:val="en-US"/>
        </w:rPr>
      </w:pPr>
      <w:r w:rsidRPr="00474548">
        <w:rPr>
          <w:sz w:val="22"/>
          <w:szCs w:val="22"/>
          <w:lang w:val="en-US"/>
        </w:rPr>
        <w:t xml:space="preserve">Despite </w:t>
      </w:r>
      <w:r w:rsidR="005F245D" w:rsidRPr="00474548">
        <w:rPr>
          <w:sz w:val="22"/>
          <w:szCs w:val="22"/>
          <w:lang w:val="en-US"/>
        </w:rPr>
        <w:t xml:space="preserve">the </w:t>
      </w:r>
      <w:r w:rsidR="004430CF" w:rsidRPr="00474548">
        <w:rPr>
          <w:sz w:val="22"/>
          <w:szCs w:val="22"/>
          <w:lang w:val="en-US"/>
        </w:rPr>
        <w:t xml:space="preserve">private investors’ interest in </w:t>
      </w:r>
      <w:r w:rsidRPr="00474548">
        <w:rPr>
          <w:sz w:val="22"/>
          <w:szCs w:val="22"/>
          <w:lang w:val="en-US"/>
        </w:rPr>
        <w:t>the infrastructure sector (</w:t>
      </w:r>
      <w:proofErr w:type="spellStart"/>
      <w:r w:rsidRPr="00474548">
        <w:rPr>
          <w:sz w:val="22"/>
          <w:szCs w:val="22"/>
          <w:lang w:val="en-US"/>
        </w:rPr>
        <w:t>Gugler</w:t>
      </w:r>
      <w:proofErr w:type="spellEnd"/>
      <w:r w:rsidRPr="00474548">
        <w:rPr>
          <w:sz w:val="22"/>
          <w:szCs w:val="22"/>
          <w:lang w:val="en-US"/>
        </w:rPr>
        <w:t xml:space="preserve"> et al</w:t>
      </w:r>
      <w:r w:rsidR="005F245D" w:rsidRPr="00474548">
        <w:rPr>
          <w:sz w:val="22"/>
          <w:szCs w:val="22"/>
          <w:lang w:val="en-US"/>
        </w:rPr>
        <w:t>.</w:t>
      </w:r>
      <w:r w:rsidRPr="00474548">
        <w:rPr>
          <w:sz w:val="22"/>
          <w:szCs w:val="22"/>
          <w:lang w:val="en-US"/>
        </w:rPr>
        <w:t xml:space="preserve">, 2013), </w:t>
      </w:r>
      <w:r w:rsidR="005F245D" w:rsidRPr="00474548">
        <w:rPr>
          <w:sz w:val="22"/>
          <w:szCs w:val="22"/>
          <w:lang w:val="en-US"/>
        </w:rPr>
        <w:t>much more is needed</w:t>
      </w:r>
      <w:r w:rsidRPr="00474548">
        <w:rPr>
          <w:sz w:val="22"/>
          <w:szCs w:val="22"/>
          <w:lang w:val="en-US"/>
        </w:rPr>
        <w:t xml:space="preserve"> to </w:t>
      </w:r>
      <w:r w:rsidR="005F245D" w:rsidRPr="00474548">
        <w:rPr>
          <w:sz w:val="22"/>
          <w:szCs w:val="22"/>
          <w:lang w:val="en-US"/>
        </w:rPr>
        <w:t xml:space="preserve">arouse </w:t>
      </w:r>
      <w:r w:rsidRPr="00474548">
        <w:rPr>
          <w:sz w:val="22"/>
          <w:szCs w:val="22"/>
          <w:lang w:val="en-US"/>
        </w:rPr>
        <w:t>their interest</w:t>
      </w:r>
      <w:r w:rsidR="004430CF" w:rsidRPr="00474548">
        <w:rPr>
          <w:sz w:val="22"/>
          <w:szCs w:val="22"/>
          <w:lang w:val="en-US"/>
        </w:rPr>
        <w:t xml:space="preserve"> in</w:t>
      </w:r>
      <w:r w:rsidRPr="00474548">
        <w:rPr>
          <w:sz w:val="22"/>
          <w:szCs w:val="22"/>
          <w:lang w:val="en-US"/>
        </w:rPr>
        <w:t xml:space="preserve"> </w:t>
      </w:r>
      <w:r w:rsidR="004430CF" w:rsidRPr="00474548">
        <w:rPr>
          <w:sz w:val="22"/>
          <w:szCs w:val="22"/>
          <w:lang w:val="en-US"/>
        </w:rPr>
        <w:t xml:space="preserve">buying </w:t>
      </w:r>
      <w:r w:rsidRPr="00474548">
        <w:rPr>
          <w:sz w:val="22"/>
          <w:szCs w:val="22"/>
          <w:lang w:val="en-US"/>
        </w:rPr>
        <w:t>such assets</w:t>
      </w:r>
      <w:r w:rsidR="00D44EF0" w:rsidRPr="00474548">
        <w:rPr>
          <w:sz w:val="22"/>
          <w:szCs w:val="22"/>
          <w:lang w:val="en-US"/>
        </w:rPr>
        <w:t>.</w:t>
      </w:r>
      <w:r w:rsidRPr="00474548">
        <w:rPr>
          <w:sz w:val="22"/>
          <w:szCs w:val="22"/>
          <w:lang w:val="en-US"/>
        </w:rPr>
        <w:t xml:space="preserve"> </w:t>
      </w:r>
      <w:r w:rsidR="00D44EF0" w:rsidRPr="00474548">
        <w:rPr>
          <w:sz w:val="22"/>
          <w:szCs w:val="22"/>
          <w:lang w:val="en-US"/>
        </w:rPr>
        <w:t>I</w:t>
      </w:r>
      <w:r w:rsidRPr="00474548">
        <w:rPr>
          <w:sz w:val="22"/>
          <w:szCs w:val="22"/>
          <w:lang w:val="en-US"/>
        </w:rPr>
        <w:t>t is necessary for the State, responsible for the regulation of th</w:t>
      </w:r>
      <w:r w:rsidR="00D44EF0" w:rsidRPr="00474548">
        <w:rPr>
          <w:sz w:val="22"/>
          <w:szCs w:val="22"/>
          <w:lang w:val="en-US"/>
        </w:rPr>
        <w:t>is</w:t>
      </w:r>
      <w:r w:rsidRPr="00474548">
        <w:rPr>
          <w:sz w:val="22"/>
          <w:szCs w:val="22"/>
          <w:lang w:val="en-US"/>
        </w:rPr>
        <w:t xml:space="preserve"> sector, </w:t>
      </w:r>
      <w:r w:rsidR="0075496B" w:rsidRPr="00474548">
        <w:rPr>
          <w:sz w:val="22"/>
          <w:szCs w:val="22"/>
          <w:lang w:val="en-US"/>
        </w:rPr>
        <w:t>to ensure</w:t>
      </w:r>
      <w:r w:rsidRPr="00474548">
        <w:rPr>
          <w:sz w:val="22"/>
          <w:szCs w:val="22"/>
          <w:lang w:val="en-US"/>
        </w:rPr>
        <w:t xml:space="preserve"> profitability and amortization of the capital invested</w:t>
      </w:r>
      <w:r w:rsidR="004430CF" w:rsidRPr="00474548">
        <w:rPr>
          <w:sz w:val="22"/>
          <w:szCs w:val="22"/>
          <w:lang w:val="en-US"/>
        </w:rPr>
        <w:t>.</w:t>
      </w:r>
      <w:r w:rsidRPr="00474548">
        <w:rPr>
          <w:sz w:val="22"/>
          <w:szCs w:val="22"/>
          <w:lang w:val="en-US"/>
        </w:rPr>
        <w:t xml:space="preserve"> </w:t>
      </w:r>
      <w:r w:rsidR="004430CF" w:rsidRPr="00474548">
        <w:rPr>
          <w:sz w:val="22"/>
          <w:szCs w:val="22"/>
          <w:lang w:val="en-US"/>
        </w:rPr>
        <w:t>Otherwise,</w:t>
      </w:r>
      <w:r w:rsidRPr="00474548">
        <w:rPr>
          <w:sz w:val="22"/>
          <w:szCs w:val="22"/>
          <w:lang w:val="en-US"/>
        </w:rPr>
        <w:t xml:space="preserve"> not enough </w:t>
      </w:r>
      <w:r w:rsidR="004430CF" w:rsidRPr="00474548">
        <w:rPr>
          <w:sz w:val="22"/>
          <w:szCs w:val="22"/>
          <w:lang w:val="en-US"/>
        </w:rPr>
        <w:t xml:space="preserve">people will be </w:t>
      </w:r>
      <w:r w:rsidR="005F245D" w:rsidRPr="00474548">
        <w:rPr>
          <w:sz w:val="22"/>
          <w:szCs w:val="22"/>
          <w:lang w:val="en-US"/>
        </w:rPr>
        <w:t xml:space="preserve">attracted to invest </w:t>
      </w:r>
      <w:r w:rsidRPr="00474548">
        <w:rPr>
          <w:sz w:val="22"/>
          <w:szCs w:val="22"/>
          <w:lang w:val="en-US"/>
        </w:rPr>
        <w:t>(</w:t>
      </w:r>
      <w:proofErr w:type="spellStart"/>
      <w:r w:rsidR="00967FCE" w:rsidRPr="00474548">
        <w:rPr>
          <w:sz w:val="22"/>
          <w:szCs w:val="22"/>
          <w:lang w:val="en-US"/>
        </w:rPr>
        <w:t>Silveira</w:t>
      </w:r>
      <w:proofErr w:type="spellEnd"/>
      <w:r w:rsidR="00967FCE" w:rsidRPr="00474548">
        <w:rPr>
          <w:sz w:val="22"/>
          <w:szCs w:val="22"/>
          <w:lang w:val="en-US"/>
        </w:rPr>
        <w:t xml:space="preserve"> </w:t>
      </w:r>
      <w:proofErr w:type="spellStart"/>
      <w:r w:rsidR="00967FCE" w:rsidRPr="00474548">
        <w:rPr>
          <w:sz w:val="22"/>
          <w:szCs w:val="22"/>
          <w:lang w:val="en-US"/>
        </w:rPr>
        <w:t>Neto</w:t>
      </w:r>
      <w:proofErr w:type="spellEnd"/>
      <w:r w:rsidR="00967FCE" w:rsidRPr="00474548">
        <w:rPr>
          <w:sz w:val="22"/>
          <w:szCs w:val="22"/>
          <w:lang w:val="en-US"/>
        </w:rPr>
        <w:t xml:space="preserve"> and </w:t>
      </w:r>
      <w:proofErr w:type="spellStart"/>
      <w:r w:rsidR="00967FCE" w:rsidRPr="00474548">
        <w:rPr>
          <w:sz w:val="22"/>
          <w:szCs w:val="22"/>
          <w:lang w:val="en-US"/>
        </w:rPr>
        <w:t>Mendonça</w:t>
      </w:r>
      <w:proofErr w:type="spellEnd"/>
      <w:r w:rsidR="00967FCE" w:rsidRPr="00474548">
        <w:rPr>
          <w:sz w:val="22"/>
          <w:szCs w:val="22"/>
          <w:lang w:val="en-US"/>
        </w:rPr>
        <w:t xml:space="preserve">, 2011; </w:t>
      </w:r>
      <w:proofErr w:type="spellStart"/>
      <w:r w:rsidRPr="00474548">
        <w:rPr>
          <w:sz w:val="22"/>
          <w:szCs w:val="22"/>
          <w:lang w:val="en-US"/>
        </w:rPr>
        <w:t>Coskun</w:t>
      </w:r>
      <w:proofErr w:type="spellEnd"/>
      <w:r w:rsidRPr="00474548">
        <w:rPr>
          <w:sz w:val="22"/>
          <w:szCs w:val="22"/>
          <w:lang w:val="en-US"/>
        </w:rPr>
        <w:t xml:space="preserve"> and </w:t>
      </w:r>
      <w:proofErr w:type="spellStart"/>
      <w:r w:rsidRPr="00474548">
        <w:rPr>
          <w:sz w:val="22"/>
          <w:szCs w:val="22"/>
          <w:lang w:val="en-US"/>
        </w:rPr>
        <w:t>Huseyin</w:t>
      </w:r>
      <w:proofErr w:type="spellEnd"/>
      <w:r w:rsidRPr="00474548">
        <w:rPr>
          <w:sz w:val="22"/>
          <w:szCs w:val="22"/>
          <w:lang w:val="en-US"/>
        </w:rPr>
        <w:t>, 2014; Gomes et al., 2014). In the global capital market</w:t>
      </w:r>
      <w:r w:rsidR="005F245D" w:rsidRPr="00474548">
        <w:rPr>
          <w:sz w:val="22"/>
          <w:szCs w:val="22"/>
          <w:lang w:val="en-US"/>
        </w:rPr>
        <w:t>s</w:t>
      </w:r>
      <w:r w:rsidRPr="00474548">
        <w:rPr>
          <w:sz w:val="22"/>
          <w:szCs w:val="22"/>
          <w:lang w:val="en-US"/>
        </w:rPr>
        <w:t xml:space="preserve"> (</w:t>
      </w:r>
      <w:proofErr w:type="spellStart"/>
      <w:r w:rsidRPr="00474548">
        <w:rPr>
          <w:sz w:val="22"/>
          <w:szCs w:val="22"/>
          <w:lang w:val="en-US"/>
        </w:rPr>
        <w:t>Sobel</w:t>
      </w:r>
      <w:proofErr w:type="spellEnd"/>
      <w:r w:rsidRPr="00474548">
        <w:rPr>
          <w:sz w:val="22"/>
          <w:szCs w:val="22"/>
          <w:lang w:val="en-US"/>
        </w:rPr>
        <w:t>, 2002), investors seek transparent and stable rules</w:t>
      </w:r>
      <w:r w:rsidR="004430CF" w:rsidRPr="00474548">
        <w:rPr>
          <w:sz w:val="22"/>
          <w:szCs w:val="22"/>
          <w:lang w:val="en-US"/>
        </w:rPr>
        <w:t>;</w:t>
      </w:r>
      <w:r w:rsidRPr="00474548">
        <w:rPr>
          <w:sz w:val="22"/>
          <w:szCs w:val="22"/>
          <w:lang w:val="en-US"/>
        </w:rPr>
        <w:t xml:space="preserve"> the design of a regulatory system has a significant impact on the level</w:t>
      </w:r>
      <w:r w:rsidR="005F245D" w:rsidRPr="00474548">
        <w:rPr>
          <w:sz w:val="22"/>
          <w:szCs w:val="22"/>
          <w:lang w:val="en-US"/>
        </w:rPr>
        <w:t>s</w:t>
      </w:r>
      <w:r w:rsidRPr="00474548">
        <w:rPr>
          <w:sz w:val="22"/>
          <w:szCs w:val="22"/>
          <w:lang w:val="en-US"/>
        </w:rPr>
        <w:t xml:space="preserve"> of systematic risk (Alexander, 1996, p. 15)</w:t>
      </w:r>
      <w:r w:rsidR="005F245D" w:rsidRPr="00474548">
        <w:rPr>
          <w:sz w:val="22"/>
          <w:szCs w:val="22"/>
          <w:lang w:val="en-US"/>
        </w:rPr>
        <w:t>.</w:t>
      </w:r>
      <w:r w:rsidRPr="00474548">
        <w:rPr>
          <w:sz w:val="22"/>
          <w:szCs w:val="22"/>
          <w:lang w:val="en-US"/>
        </w:rPr>
        <w:t xml:space="preserve"> </w:t>
      </w:r>
      <w:r w:rsidR="005F245D" w:rsidRPr="00474548">
        <w:rPr>
          <w:sz w:val="22"/>
          <w:szCs w:val="22"/>
          <w:lang w:val="en-US"/>
        </w:rPr>
        <w:t xml:space="preserve">Besides, </w:t>
      </w:r>
      <w:r w:rsidRPr="00474548">
        <w:rPr>
          <w:sz w:val="22"/>
          <w:szCs w:val="22"/>
          <w:lang w:val="en-US"/>
        </w:rPr>
        <w:t xml:space="preserve">regulatory uncertainties ultimately </w:t>
      </w:r>
      <w:r w:rsidR="004430CF" w:rsidRPr="00474548">
        <w:rPr>
          <w:sz w:val="22"/>
          <w:szCs w:val="22"/>
          <w:lang w:val="en-US"/>
        </w:rPr>
        <w:t>increase</w:t>
      </w:r>
      <w:r w:rsidRPr="00474548">
        <w:rPr>
          <w:sz w:val="22"/>
          <w:szCs w:val="22"/>
          <w:lang w:val="en-US"/>
        </w:rPr>
        <w:t xml:space="preserve"> financial costs (</w:t>
      </w:r>
      <w:proofErr w:type="spellStart"/>
      <w:r w:rsidR="00967FCE" w:rsidRPr="00474548">
        <w:rPr>
          <w:color w:val="000000"/>
          <w:sz w:val="22"/>
          <w:szCs w:val="22"/>
          <w:lang w:val="en-US"/>
        </w:rPr>
        <w:t>Fugimoto</w:t>
      </w:r>
      <w:proofErr w:type="spellEnd"/>
      <w:r w:rsidR="00967FCE" w:rsidRPr="00474548">
        <w:rPr>
          <w:color w:val="000000"/>
          <w:sz w:val="22"/>
          <w:szCs w:val="22"/>
          <w:lang w:val="en-US"/>
        </w:rPr>
        <w:t xml:space="preserve"> and </w:t>
      </w:r>
      <w:proofErr w:type="spellStart"/>
      <w:r w:rsidR="00967FCE" w:rsidRPr="00474548">
        <w:rPr>
          <w:color w:val="000000"/>
          <w:sz w:val="22"/>
          <w:szCs w:val="22"/>
          <w:lang w:val="en-US"/>
        </w:rPr>
        <w:t>Tahan</w:t>
      </w:r>
      <w:proofErr w:type="spellEnd"/>
      <w:r w:rsidR="00967FCE" w:rsidRPr="00474548">
        <w:rPr>
          <w:color w:val="000000"/>
          <w:sz w:val="22"/>
          <w:szCs w:val="22"/>
          <w:lang w:val="en-US"/>
        </w:rPr>
        <w:t xml:space="preserve">, 2009; </w:t>
      </w:r>
      <w:proofErr w:type="spellStart"/>
      <w:r w:rsidR="00992C2F" w:rsidRPr="00474548">
        <w:rPr>
          <w:rFonts w:eastAsiaTheme="minorEastAsia"/>
          <w:color w:val="000000"/>
          <w:kern w:val="0"/>
          <w:sz w:val="22"/>
          <w:szCs w:val="22"/>
          <w:lang w:val="en-US" w:eastAsia="en-US"/>
        </w:rPr>
        <w:t>Gugler</w:t>
      </w:r>
      <w:proofErr w:type="spellEnd"/>
      <w:r w:rsidR="00992C2F" w:rsidRPr="00474548">
        <w:rPr>
          <w:rFonts w:eastAsiaTheme="minorEastAsia"/>
          <w:color w:val="000000"/>
          <w:kern w:val="0"/>
          <w:sz w:val="22"/>
          <w:szCs w:val="22"/>
          <w:lang w:val="en-US" w:eastAsia="en-US"/>
        </w:rPr>
        <w:t xml:space="preserve"> et al., 2013</w:t>
      </w:r>
      <w:r w:rsidRPr="00474548">
        <w:rPr>
          <w:sz w:val="22"/>
          <w:szCs w:val="22"/>
          <w:lang w:val="en-US"/>
        </w:rPr>
        <w:t xml:space="preserve">) </w:t>
      </w:r>
      <w:r w:rsidR="004430CF" w:rsidRPr="00474548">
        <w:rPr>
          <w:sz w:val="22"/>
          <w:szCs w:val="22"/>
          <w:lang w:val="en-US"/>
        </w:rPr>
        <w:t>along with</w:t>
      </w:r>
      <w:r w:rsidRPr="00474548">
        <w:rPr>
          <w:sz w:val="22"/>
          <w:szCs w:val="22"/>
          <w:lang w:val="en-US"/>
        </w:rPr>
        <w:t xml:space="preserve"> </w:t>
      </w:r>
      <w:r w:rsidR="005F245D" w:rsidRPr="00474548">
        <w:rPr>
          <w:sz w:val="22"/>
          <w:szCs w:val="22"/>
          <w:lang w:val="en-US"/>
        </w:rPr>
        <w:t xml:space="preserve">the </w:t>
      </w:r>
      <w:r w:rsidR="00577D39" w:rsidRPr="00474548">
        <w:rPr>
          <w:sz w:val="22"/>
          <w:szCs w:val="22"/>
          <w:lang w:val="en-US"/>
        </w:rPr>
        <w:t>energy companies</w:t>
      </w:r>
      <w:r w:rsidRPr="00474548">
        <w:rPr>
          <w:sz w:val="22"/>
          <w:szCs w:val="22"/>
          <w:lang w:val="en-US"/>
        </w:rPr>
        <w:t xml:space="preserve"> volatility in the market</w:t>
      </w:r>
      <w:r w:rsidR="00992C2F" w:rsidRPr="00474548">
        <w:rPr>
          <w:sz w:val="22"/>
          <w:szCs w:val="22"/>
          <w:lang w:val="en-US"/>
        </w:rPr>
        <w:t xml:space="preserve"> (</w:t>
      </w:r>
      <w:proofErr w:type="spellStart"/>
      <w:r w:rsidR="00992C2F" w:rsidRPr="00474548">
        <w:rPr>
          <w:sz w:val="22"/>
          <w:szCs w:val="22"/>
          <w:lang w:val="en-US"/>
        </w:rPr>
        <w:t>Ziel</w:t>
      </w:r>
      <w:proofErr w:type="spellEnd"/>
      <w:r w:rsidR="00992C2F" w:rsidRPr="00474548">
        <w:rPr>
          <w:sz w:val="22"/>
          <w:szCs w:val="22"/>
          <w:lang w:val="en-US"/>
        </w:rPr>
        <w:t xml:space="preserve"> et al</w:t>
      </w:r>
      <w:r w:rsidR="005F245D" w:rsidRPr="00474548">
        <w:rPr>
          <w:sz w:val="22"/>
          <w:szCs w:val="22"/>
          <w:lang w:val="en-US"/>
        </w:rPr>
        <w:t>.</w:t>
      </w:r>
      <w:r w:rsidR="00992C2F" w:rsidRPr="00474548">
        <w:rPr>
          <w:sz w:val="22"/>
          <w:szCs w:val="22"/>
          <w:lang w:val="en-US"/>
        </w:rPr>
        <w:t>, 2015)</w:t>
      </w:r>
      <w:r w:rsidRPr="00474548">
        <w:rPr>
          <w:sz w:val="22"/>
          <w:szCs w:val="22"/>
          <w:lang w:val="en-US"/>
        </w:rPr>
        <w:t>.</w:t>
      </w:r>
    </w:p>
    <w:p w14:paraId="436C5252" w14:textId="488BF1B8" w:rsidR="006D6567" w:rsidRPr="00474548" w:rsidRDefault="001C68D0" w:rsidP="008E6F8E">
      <w:pPr>
        <w:pStyle w:val="ListParagraph"/>
        <w:ind w:left="0" w:firstLine="708"/>
        <w:jc w:val="both"/>
        <w:rPr>
          <w:sz w:val="22"/>
          <w:szCs w:val="22"/>
          <w:lang w:val="en-US"/>
        </w:rPr>
      </w:pPr>
      <w:r w:rsidRPr="00474548">
        <w:rPr>
          <w:sz w:val="22"/>
          <w:szCs w:val="22"/>
          <w:lang w:val="en-US"/>
        </w:rPr>
        <w:t xml:space="preserve">Thus, </w:t>
      </w:r>
      <w:r w:rsidR="00FA1730" w:rsidRPr="00474548">
        <w:rPr>
          <w:sz w:val="22"/>
          <w:szCs w:val="22"/>
          <w:lang w:val="en-US"/>
        </w:rPr>
        <w:t xml:space="preserve">the understanding of </w:t>
      </w:r>
      <w:r w:rsidRPr="00474548">
        <w:rPr>
          <w:sz w:val="22"/>
          <w:szCs w:val="22"/>
          <w:lang w:val="en-US"/>
        </w:rPr>
        <w:t xml:space="preserve">the impact </w:t>
      </w:r>
      <w:r w:rsidR="004430CF" w:rsidRPr="00474548">
        <w:rPr>
          <w:sz w:val="22"/>
          <w:szCs w:val="22"/>
          <w:lang w:val="en-US"/>
        </w:rPr>
        <w:t>of</w:t>
      </w:r>
      <w:r w:rsidRPr="00474548">
        <w:rPr>
          <w:sz w:val="22"/>
          <w:szCs w:val="22"/>
          <w:lang w:val="en-US"/>
        </w:rPr>
        <w:t xml:space="preserve"> regulatory policies (</w:t>
      </w:r>
      <w:r w:rsidR="00C42C23" w:rsidRPr="00474548">
        <w:rPr>
          <w:sz w:val="22"/>
          <w:szCs w:val="22"/>
          <w:lang w:val="en-US"/>
        </w:rPr>
        <w:t xml:space="preserve">Brewer </w:t>
      </w:r>
      <w:r w:rsidRPr="00474548">
        <w:rPr>
          <w:sz w:val="22"/>
          <w:szCs w:val="22"/>
          <w:lang w:val="en-US"/>
        </w:rPr>
        <w:t xml:space="preserve">and Mann, 1989) on regulated sectors </w:t>
      </w:r>
      <w:r w:rsidR="001F5B4D" w:rsidRPr="00474548">
        <w:rPr>
          <w:sz w:val="22"/>
          <w:szCs w:val="22"/>
          <w:lang w:val="en-US"/>
        </w:rPr>
        <w:t>is</w:t>
      </w:r>
      <w:r w:rsidRPr="00474548">
        <w:rPr>
          <w:sz w:val="22"/>
          <w:szCs w:val="22"/>
          <w:lang w:val="en-US"/>
        </w:rPr>
        <w:t xml:space="preserve"> of extreme importance </w:t>
      </w:r>
      <w:r w:rsidR="00FA1730" w:rsidRPr="00474548">
        <w:rPr>
          <w:sz w:val="22"/>
          <w:szCs w:val="22"/>
          <w:lang w:val="en-US"/>
        </w:rPr>
        <w:t xml:space="preserve">in framing </w:t>
      </w:r>
      <w:r w:rsidRPr="00474548">
        <w:rPr>
          <w:sz w:val="22"/>
          <w:szCs w:val="22"/>
          <w:lang w:val="en-US"/>
        </w:rPr>
        <w:t>public policy. Although this is a current and growing concern, the</w:t>
      </w:r>
      <w:r w:rsidR="004430CF" w:rsidRPr="00474548">
        <w:rPr>
          <w:sz w:val="22"/>
          <w:szCs w:val="22"/>
          <w:lang w:val="en-US"/>
        </w:rPr>
        <w:t>re is still little</w:t>
      </w:r>
      <w:r w:rsidRPr="00474548">
        <w:rPr>
          <w:sz w:val="22"/>
          <w:szCs w:val="22"/>
          <w:lang w:val="en-US"/>
        </w:rPr>
        <w:t xml:space="preserve"> practical knowledge of </w:t>
      </w:r>
      <w:r w:rsidR="00D44EF0" w:rsidRPr="00474548">
        <w:rPr>
          <w:sz w:val="22"/>
          <w:szCs w:val="22"/>
          <w:lang w:val="en-US"/>
        </w:rPr>
        <w:t xml:space="preserve">its </w:t>
      </w:r>
      <w:r w:rsidRPr="00474548">
        <w:rPr>
          <w:sz w:val="22"/>
          <w:szCs w:val="22"/>
          <w:lang w:val="en-US"/>
        </w:rPr>
        <w:t>impact on the market</w:t>
      </w:r>
      <w:r w:rsidR="00FA1730" w:rsidRPr="00474548">
        <w:rPr>
          <w:sz w:val="22"/>
          <w:szCs w:val="22"/>
          <w:lang w:val="en-US"/>
        </w:rPr>
        <w:t>.</w:t>
      </w:r>
      <w:r w:rsidRPr="00474548">
        <w:rPr>
          <w:sz w:val="22"/>
          <w:szCs w:val="22"/>
          <w:lang w:val="en-US"/>
        </w:rPr>
        <w:t xml:space="preserve"> </w:t>
      </w:r>
      <w:r w:rsidR="00FA1730" w:rsidRPr="00474548">
        <w:rPr>
          <w:sz w:val="22"/>
          <w:szCs w:val="22"/>
          <w:lang w:val="en-US"/>
        </w:rPr>
        <w:t xml:space="preserve">Hence, </w:t>
      </w:r>
      <w:r w:rsidR="009F2C79" w:rsidRPr="00474548">
        <w:rPr>
          <w:sz w:val="22"/>
          <w:szCs w:val="22"/>
          <w:lang w:val="en-US"/>
        </w:rPr>
        <w:t xml:space="preserve">such an </w:t>
      </w:r>
      <w:r w:rsidRPr="00474548">
        <w:rPr>
          <w:sz w:val="22"/>
          <w:szCs w:val="22"/>
          <w:lang w:val="en-US"/>
        </w:rPr>
        <w:lastRenderedPageBreak/>
        <w:t>analysis</w:t>
      </w:r>
      <w:r w:rsidR="004430CF" w:rsidRPr="00474548">
        <w:rPr>
          <w:sz w:val="22"/>
          <w:szCs w:val="22"/>
          <w:lang w:val="en-US"/>
        </w:rPr>
        <w:t xml:space="preserve"> </w:t>
      </w:r>
      <w:r w:rsidR="00FA1730" w:rsidRPr="00474548">
        <w:rPr>
          <w:sz w:val="22"/>
          <w:szCs w:val="22"/>
          <w:lang w:val="en-US"/>
        </w:rPr>
        <w:t xml:space="preserve">is </w:t>
      </w:r>
      <w:r w:rsidRPr="00474548">
        <w:rPr>
          <w:sz w:val="22"/>
          <w:szCs w:val="22"/>
          <w:lang w:val="en-US"/>
        </w:rPr>
        <w:t>the main contribution of this paper. In this context, the aim of this research is to describe, evaluate</w:t>
      </w:r>
      <w:r w:rsidR="00FA1730" w:rsidRPr="00474548">
        <w:rPr>
          <w:sz w:val="22"/>
          <w:szCs w:val="22"/>
          <w:lang w:val="en-US"/>
        </w:rPr>
        <w:t>,</w:t>
      </w:r>
      <w:r w:rsidRPr="00474548">
        <w:rPr>
          <w:sz w:val="22"/>
          <w:szCs w:val="22"/>
          <w:lang w:val="en-US"/>
        </w:rPr>
        <w:t xml:space="preserve"> and </w:t>
      </w:r>
      <w:r w:rsidR="00FA1730" w:rsidRPr="00474548">
        <w:rPr>
          <w:sz w:val="22"/>
          <w:szCs w:val="22"/>
          <w:lang w:val="en-US"/>
        </w:rPr>
        <w:t>analyze</w:t>
      </w:r>
      <w:r w:rsidRPr="00474548">
        <w:rPr>
          <w:sz w:val="22"/>
          <w:szCs w:val="22"/>
          <w:lang w:val="en-US"/>
        </w:rPr>
        <w:t xml:space="preserve"> the intensity of the content in the </w:t>
      </w:r>
      <w:r w:rsidR="00FA1730" w:rsidRPr="00474548">
        <w:rPr>
          <w:sz w:val="22"/>
          <w:szCs w:val="22"/>
          <w:lang w:val="en-US"/>
        </w:rPr>
        <w:t>re</w:t>
      </w:r>
      <w:r w:rsidRPr="00474548">
        <w:rPr>
          <w:sz w:val="22"/>
          <w:szCs w:val="22"/>
          <w:lang w:val="en-US"/>
        </w:rPr>
        <w:t xml:space="preserve">gulatory </w:t>
      </w:r>
      <w:r w:rsidR="00FA1730" w:rsidRPr="00474548">
        <w:rPr>
          <w:sz w:val="22"/>
          <w:szCs w:val="22"/>
          <w:lang w:val="en-US"/>
        </w:rPr>
        <w:t>l</w:t>
      </w:r>
      <w:r w:rsidRPr="00474548">
        <w:rPr>
          <w:sz w:val="22"/>
          <w:szCs w:val="22"/>
          <w:lang w:val="en-US"/>
        </w:rPr>
        <w:t>egislation addressed to the Brazilian electricity sector and provide an objective basis for measuring regulatory risk</w:t>
      </w:r>
      <w:r w:rsidR="009F2C79" w:rsidRPr="00474548">
        <w:rPr>
          <w:sz w:val="22"/>
          <w:szCs w:val="22"/>
          <w:lang w:val="en-US"/>
        </w:rPr>
        <w:t xml:space="preserve">. This is intended to enable </w:t>
      </w:r>
      <w:r w:rsidRPr="00474548">
        <w:rPr>
          <w:sz w:val="22"/>
          <w:szCs w:val="22"/>
          <w:lang w:val="en-US"/>
        </w:rPr>
        <w:t xml:space="preserve">the evaluation </w:t>
      </w:r>
      <w:r w:rsidRPr="00474548">
        <w:rPr>
          <w:i/>
          <w:sz w:val="22"/>
          <w:szCs w:val="22"/>
          <w:lang w:val="en-US"/>
        </w:rPr>
        <w:t>ex ante</w:t>
      </w:r>
      <w:r w:rsidRPr="00474548">
        <w:rPr>
          <w:sz w:val="22"/>
          <w:szCs w:val="22"/>
          <w:lang w:val="en-US"/>
        </w:rPr>
        <w:t xml:space="preserve"> of the impact of </w:t>
      </w:r>
      <w:r w:rsidR="00FA1730" w:rsidRPr="00474548">
        <w:rPr>
          <w:sz w:val="22"/>
          <w:szCs w:val="22"/>
          <w:lang w:val="en-US"/>
        </w:rPr>
        <w:t xml:space="preserve">the </w:t>
      </w:r>
      <w:r w:rsidRPr="00474548">
        <w:rPr>
          <w:sz w:val="22"/>
          <w:szCs w:val="22"/>
          <w:lang w:val="en-US"/>
        </w:rPr>
        <w:t>policies and guidelines for the electricity sector</w:t>
      </w:r>
      <w:r w:rsidR="00FA1730" w:rsidRPr="00474548">
        <w:rPr>
          <w:sz w:val="22"/>
          <w:szCs w:val="22"/>
          <w:lang w:val="en-US"/>
        </w:rPr>
        <w:t xml:space="preserve"> as per </w:t>
      </w:r>
      <w:r w:rsidRPr="00474548">
        <w:rPr>
          <w:sz w:val="22"/>
          <w:szCs w:val="22"/>
          <w:lang w:val="en-US"/>
        </w:rPr>
        <w:t xml:space="preserve">the intensity of its Regulatory </w:t>
      </w:r>
      <w:r w:rsidR="009F2C79" w:rsidRPr="00474548">
        <w:rPr>
          <w:sz w:val="22"/>
          <w:szCs w:val="22"/>
          <w:lang w:val="en-US"/>
        </w:rPr>
        <w:t xml:space="preserve">Content </w:t>
      </w:r>
      <w:r w:rsidRPr="00474548">
        <w:rPr>
          <w:sz w:val="22"/>
          <w:szCs w:val="22"/>
          <w:lang w:val="en-US"/>
        </w:rPr>
        <w:t>(RC)</w:t>
      </w:r>
      <w:r w:rsidR="009F2C79" w:rsidRPr="00474548">
        <w:rPr>
          <w:sz w:val="22"/>
          <w:szCs w:val="22"/>
          <w:lang w:val="en-US"/>
        </w:rPr>
        <w:t>.</w:t>
      </w:r>
      <w:r w:rsidRPr="00474548">
        <w:rPr>
          <w:sz w:val="22"/>
          <w:szCs w:val="22"/>
          <w:lang w:val="en-US"/>
        </w:rPr>
        <w:t xml:space="preserve"> </w:t>
      </w:r>
      <w:r w:rsidR="009F2C79" w:rsidRPr="00474548">
        <w:rPr>
          <w:sz w:val="22"/>
          <w:szCs w:val="22"/>
          <w:lang w:val="en-US"/>
        </w:rPr>
        <w:t xml:space="preserve">It will </w:t>
      </w:r>
      <w:r w:rsidRPr="00474548">
        <w:rPr>
          <w:sz w:val="22"/>
          <w:szCs w:val="22"/>
          <w:lang w:val="en-US"/>
        </w:rPr>
        <w:t xml:space="preserve">also demonstrate the different impact on the </w:t>
      </w:r>
      <w:r w:rsidR="005D2747" w:rsidRPr="00474548">
        <w:rPr>
          <w:sz w:val="22"/>
          <w:szCs w:val="22"/>
          <w:lang w:val="en-US"/>
        </w:rPr>
        <w:t>stock risks</w:t>
      </w:r>
      <w:r w:rsidRPr="00474548">
        <w:rPr>
          <w:sz w:val="22"/>
          <w:szCs w:val="22"/>
          <w:lang w:val="en-US"/>
        </w:rPr>
        <w:t>, guided by the following research question</w:t>
      </w:r>
      <w:r w:rsidRPr="00474548">
        <w:rPr>
          <w:color w:val="000000"/>
          <w:sz w:val="22"/>
          <w:szCs w:val="22"/>
          <w:lang w:val="en-US"/>
        </w:rPr>
        <w:t xml:space="preserve">: </w:t>
      </w:r>
      <w:r w:rsidR="009F2C79" w:rsidRPr="00474548">
        <w:rPr>
          <w:i/>
          <w:sz w:val="22"/>
          <w:szCs w:val="22"/>
          <w:lang w:val="en-US"/>
        </w:rPr>
        <w:t xml:space="preserve">Does the </w:t>
      </w:r>
      <w:r w:rsidRPr="00474548">
        <w:rPr>
          <w:i/>
          <w:sz w:val="22"/>
          <w:szCs w:val="22"/>
          <w:lang w:val="en-US"/>
        </w:rPr>
        <w:t xml:space="preserve">intensity of the regulatory </w:t>
      </w:r>
      <w:r w:rsidR="009F2C79" w:rsidRPr="00474548">
        <w:rPr>
          <w:i/>
          <w:sz w:val="22"/>
          <w:szCs w:val="22"/>
          <w:lang w:val="en-US"/>
        </w:rPr>
        <w:t xml:space="preserve">content have a different </w:t>
      </w:r>
      <w:r w:rsidRPr="00474548">
        <w:rPr>
          <w:i/>
          <w:sz w:val="22"/>
          <w:szCs w:val="22"/>
          <w:lang w:val="en-US"/>
        </w:rPr>
        <w:t xml:space="preserve">impact </w:t>
      </w:r>
      <w:r w:rsidR="009F2C79" w:rsidRPr="00474548">
        <w:rPr>
          <w:i/>
          <w:sz w:val="22"/>
          <w:szCs w:val="22"/>
          <w:lang w:val="en-US"/>
        </w:rPr>
        <w:t>on</w:t>
      </w:r>
      <w:r w:rsidRPr="00474548">
        <w:rPr>
          <w:i/>
          <w:sz w:val="22"/>
          <w:szCs w:val="22"/>
          <w:lang w:val="en-US"/>
        </w:rPr>
        <w:t xml:space="preserve"> the risk of company shares of the Brazilian Electric</w:t>
      </w:r>
      <w:r w:rsidR="00162168" w:rsidRPr="00474548">
        <w:rPr>
          <w:i/>
          <w:sz w:val="22"/>
          <w:szCs w:val="22"/>
          <w:lang w:val="en-US"/>
        </w:rPr>
        <w:t>ity</w:t>
      </w:r>
      <w:r w:rsidRPr="00474548">
        <w:rPr>
          <w:i/>
          <w:sz w:val="22"/>
          <w:szCs w:val="22"/>
          <w:lang w:val="en-US"/>
        </w:rPr>
        <w:t xml:space="preserve"> Energy Sector?</w:t>
      </w:r>
    </w:p>
    <w:p w14:paraId="082E8521" w14:textId="3BC4FA0F" w:rsidR="000B7B96" w:rsidRPr="00474548" w:rsidRDefault="005B605A" w:rsidP="008E6F8E">
      <w:pPr>
        <w:ind w:firstLine="709"/>
        <w:jc w:val="both"/>
        <w:rPr>
          <w:sz w:val="22"/>
          <w:szCs w:val="22"/>
          <w:lang w:val="en-US"/>
        </w:rPr>
      </w:pPr>
      <w:r w:rsidRPr="00474548">
        <w:rPr>
          <w:sz w:val="22"/>
          <w:szCs w:val="22"/>
          <w:lang w:val="en-US"/>
        </w:rPr>
        <w:t>The Brazilian electricity sector has undergone several changes since the promulgation of the 1988 Constitution, "involving the sector's institutional nature, technological innovations, economic infrastructure</w:t>
      </w:r>
      <w:r w:rsidR="00FA1730" w:rsidRPr="00474548">
        <w:rPr>
          <w:sz w:val="22"/>
          <w:szCs w:val="22"/>
          <w:lang w:val="en-US"/>
        </w:rPr>
        <w:t>,</w:t>
      </w:r>
      <w:r w:rsidRPr="00474548">
        <w:rPr>
          <w:sz w:val="22"/>
          <w:szCs w:val="22"/>
          <w:lang w:val="en-US"/>
        </w:rPr>
        <w:t xml:space="preserve"> and significant reorientation adopted by </w:t>
      </w:r>
      <w:r w:rsidR="00FA1730" w:rsidRPr="00474548">
        <w:rPr>
          <w:sz w:val="22"/>
          <w:szCs w:val="22"/>
          <w:lang w:val="en-US"/>
        </w:rPr>
        <w:t xml:space="preserve">the </w:t>
      </w:r>
      <w:r w:rsidRPr="00474548">
        <w:rPr>
          <w:sz w:val="22"/>
          <w:szCs w:val="22"/>
          <w:lang w:val="en-US"/>
        </w:rPr>
        <w:t>private investment</w:t>
      </w:r>
      <w:r w:rsidR="009F2C79" w:rsidRPr="00474548">
        <w:rPr>
          <w:sz w:val="22"/>
          <w:szCs w:val="22"/>
          <w:lang w:val="en-US"/>
        </w:rPr>
        <w:t xml:space="preserve"> initiative policies</w:t>
      </w:r>
      <w:r w:rsidRPr="00474548">
        <w:rPr>
          <w:sz w:val="22"/>
          <w:szCs w:val="22"/>
          <w:lang w:val="en-US"/>
        </w:rPr>
        <w:t xml:space="preserve">" (Castro Silva, 2007, p. 22). The diversity of the legislation governing the Brazilian electricity sector </w:t>
      </w:r>
      <w:r w:rsidR="009F2C79" w:rsidRPr="00474548">
        <w:rPr>
          <w:sz w:val="22"/>
          <w:szCs w:val="22"/>
          <w:lang w:val="en-US"/>
        </w:rPr>
        <w:t xml:space="preserve">makes it </w:t>
      </w:r>
      <w:r w:rsidRPr="00474548">
        <w:rPr>
          <w:sz w:val="22"/>
          <w:szCs w:val="22"/>
          <w:lang w:val="en-US"/>
        </w:rPr>
        <w:t xml:space="preserve">essential to </w:t>
      </w:r>
      <w:r w:rsidR="00FA1730" w:rsidRPr="00474548">
        <w:rPr>
          <w:sz w:val="22"/>
          <w:szCs w:val="22"/>
          <w:lang w:val="en-US"/>
        </w:rPr>
        <w:t xml:space="preserve">appreciate </w:t>
      </w:r>
      <w:r w:rsidRPr="00474548">
        <w:rPr>
          <w:sz w:val="22"/>
          <w:szCs w:val="22"/>
          <w:lang w:val="en-US"/>
        </w:rPr>
        <w:t>its intensity and the relationship established between the intervention and regulatory risk</w:t>
      </w:r>
      <w:r w:rsidR="00FA1730" w:rsidRPr="00474548">
        <w:rPr>
          <w:sz w:val="22"/>
          <w:szCs w:val="22"/>
          <w:lang w:val="en-US"/>
        </w:rPr>
        <w:t>s</w:t>
      </w:r>
      <w:r w:rsidRPr="00474548">
        <w:rPr>
          <w:sz w:val="22"/>
          <w:szCs w:val="22"/>
          <w:lang w:val="en-US"/>
        </w:rPr>
        <w:t xml:space="preserve">. </w:t>
      </w:r>
    </w:p>
    <w:p w14:paraId="7BB5FB42" w14:textId="6804EE8C" w:rsidR="000B7B96" w:rsidRPr="00474548" w:rsidRDefault="00244C4F" w:rsidP="008E6F8E">
      <w:pPr>
        <w:suppressAutoHyphens w:val="0"/>
        <w:autoSpaceDE w:val="0"/>
        <w:autoSpaceDN w:val="0"/>
        <w:adjustRightInd w:val="0"/>
        <w:ind w:firstLine="709"/>
        <w:jc w:val="both"/>
        <w:rPr>
          <w:sz w:val="22"/>
          <w:szCs w:val="22"/>
          <w:lang w:val="en-US"/>
        </w:rPr>
      </w:pPr>
      <w:r w:rsidRPr="00474548">
        <w:rPr>
          <w:sz w:val="22"/>
          <w:szCs w:val="22"/>
          <w:lang w:val="en-US"/>
        </w:rPr>
        <w:t>Th</w:t>
      </w:r>
      <w:r w:rsidR="00D44EF0" w:rsidRPr="00474548">
        <w:rPr>
          <w:sz w:val="22"/>
          <w:szCs w:val="22"/>
          <w:lang w:val="en-US"/>
        </w:rPr>
        <w:t>is paper</w:t>
      </w:r>
      <w:r w:rsidRPr="00474548">
        <w:rPr>
          <w:sz w:val="22"/>
          <w:szCs w:val="22"/>
          <w:lang w:val="en-US"/>
        </w:rPr>
        <w:t xml:space="preserve"> is structured </w:t>
      </w:r>
      <w:r w:rsidR="00FA1730" w:rsidRPr="00474548">
        <w:rPr>
          <w:sz w:val="22"/>
          <w:szCs w:val="22"/>
          <w:lang w:val="en-US"/>
        </w:rPr>
        <w:t xml:space="preserve">across </w:t>
      </w:r>
      <w:r w:rsidRPr="00474548">
        <w:rPr>
          <w:sz w:val="22"/>
          <w:szCs w:val="22"/>
          <w:lang w:val="en-US"/>
        </w:rPr>
        <w:t xml:space="preserve">five sections. After this introduction, </w:t>
      </w:r>
      <w:r w:rsidR="009F2C79" w:rsidRPr="00474548">
        <w:rPr>
          <w:sz w:val="22"/>
          <w:szCs w:val="22"/>
          <w:lang w:val="en-US"/>
        </w:rPr>
        <w:t xml:space="preserve">we present </w:t>
      </w:r>
      <w:r w:rsidRPr="00474548">
        <w:rPr>
          <w:sz w:val="22"/>
          <w:szCs w:val="22"/>
          <w:lang w:val="en-US"/>
        </w:rPr>
        <w:t xml:space="preserve">the theoretical and empirical framework. </w:t>
      </w:r>
      <w:r w:rsidR="009F2C79" w:rsidRPr="00474548">
        <w:rPr>
          <w:sz w:val="22"/>
          <w:szCs w:val="22"/>
          <w:lang w:val="en-US"/>
        </w:rPr>
        <w:t>T</w:t>
      </w:r>
      <w:r w:rsidRPr="00474548">
        <w:rPr>
          <w:sz w:val="22"/>
          <w:szCs w:val="22"/>
          <w:lang w:val="en-US"/>
        </w:rPr>
        <w:t>he third section</w:t>
      </w:r>
      <w:r w:rsidR="009F2C79" w:rsidRPr="00474548">
        <w:rPr>
          <w:sz w:val="22"/>
          <w:szCs w:val="22"/>
          <w:lang w:val="en-US"/>
        </w:rPr>
        <w:t xml:space="preserve"> </w:t>
      </w:r>
      <w:r w:rsidR="00084493" w:rsidRPr="00474548">
        <w:rPr>
          <w:sz w:val="22"/>
          <w:szCs w:val="22"/>
          <w:lang w:val="en-US"/>
        </w:rPr>
        <w:t xml:space="preserve">describes </w:t>
      </w:r>
      <w:r w:rsidRPr="00474548">
        <w:rPr>
          <w:sz w:val="22"/>
          <w:szCs w:val="22"/>
          <w:lang w:val="en-US"/>
        </w:rPr>
        <w:t>the methodological procedures. In the fourth section</w:t>
      </w:r>
      <w:r w:rsidR="00084493" w:rsidRPr="00474548">
        <w:rPr>
          <w:sz w:val="22"/>
          <w:szCs w:val="22"/>
          <w:lang w:val="en-US"/>
        </w:rPr>
        <w:t>,</w:t>
      </w:r>
      <w:r w:rsidRPr="00474548">
        <w:rPr>
          <w:sz w:val="22"/>
          <w:szCs w:val="22"/>
          <w:lang w:val="en-US"/>
        </w:rPr>
        <w:t xml:space="preserve"> the submission, r</w:t>
      </w:r>
      <w:r w:rsidR="0075496B" w:rsidRPr="00474548">
        <w:rPr>
          <w:sz w:val="22"/>
          <w:szCs w:val="22"/>
          <w:lang w:val="en-US"/>
        </w:rPr>
        <w:t>eview</w:t>
      </w:r>
      <w:r w:rsidR="00084493" w:rsidRPr="00474548">
        <w:rPr>
          <w:sz w:val="22"/>
          <w:szCs w:val="22"/>
          <w:lang w:val="en-US"/>
        </w:rPr>
        <w:t>,</w:t>
      </w:r>
      <w:r w:rsidR="0075496B" w:rsidRPr="00474548">
        <w:rPr>
          <w:sz w:val="22"/>
          <w:szCs w:val="22"/>
          <w:lang w:val="en-US"/>
        </w:rPr>
        <w:t xml:space="preserve"> and discussion of </w:t>
      </w:r>
      <w:r w:rsidR="00084493" w:rsidRPr="00474548">
        <w:rPr>
          <w:sz w:val="22"/>
          <w:szCs w:val="22"/>
          <w:lang w:val="en-US"/>
        </w:rPr>
        <w:t xml:space="preserve">the </w:t>
      </w:r>
      <w:r w:rsidR="0075496B" w:rsidRPr="00474548">
        <w:rPr>
          <w:sz w:val="22"/>
          <w:szCs w:val="22"/>
          <w:lang w:val="en-US"/>
        </w:rPr>
        <w:t xml:space="preserve">results </w:t>
      </w:r>
      <w:r w:rsidRPr="00474548">
        <w:rPr>
          <w:sz w:val="22"/>
          <w:szCs w:val="22"/>
          <w:lang w:val="en-US"/>
        </w:rPr>
        <w:t xml:space="preserve">are </w:t>
      </w:r>
      <w:r w:rsidR="00084493" w:rsidRPr="00474548">
        <w:rPr>
          <w:sz w:val="22"/>
          <w:szCs w:val="22"/>
          <w:lang w:val="en-US"/>
        </w:rPr>
        <w:t>presented</w:t>
      </w:r>
      <w:r w:rsidRPr="00474548">
        <w:rPr>
          <w:sz w:val="22"/>
          <w:szCs w:val="22"/>
          <w:lang w:val="en-US"/>
        </w:rPr>
        <w:t xml:space="preserve">. </w:t>
      </w:r>
      <w:r w:rsidR="009F2C79" w:rsidRPr="00474548">
        <w:rPr>
          <w:sz w:val="22"/>
          <w:szCs w:val="22"/>
          <w:lang w:val="en-US"/>
        </w:rPr>
        <w:t xml:space="preserve">At </w:t>
      </w:r>
      <w:r w:rsidRPr="00474548">
        <w:rPr>
          <w:sz w:val="22"/>
          <w:szCs w:val="22"/>
          <w:lang w:val="en-US"/>
        </w:rPr>
        <w:t xml:space="preserve">the </w:t>
      </w:r>
      <w:r w:rsidR="009F2C79" w:rsidRPr="00474548">
        <w:rPr>
          <w:sz w:val="22"/>
          <w:szCs w:val="22"/>
          <w:lang w:val="en-US"/>
        </w:rPr>
        <w:t xml:space="preserve">end of the </w:t>
      </w:r>
      <w:r w:rsidRPr="00474548">
        <w:rPr>
          <w:sz w:val="22"/>
          <w:szCs w:val="22"/>
          <w:lang w:val="en-US"/>
        </w:rPr>
        <w:t xml:space="preserve">article, the final considerations are </w:t>
      </w:r>
      <w:r w:rsidR="00084493" w:rsidRPr="00474548">
        <w:rPr>
          <w:sz w:val="22"/>
          <w:szCs w:val="22"/>
          <w:lang w:val="en-US"/>
        </w:rPr>
        <w:t>reported</w:t>
      </w:r>
      <w:r w:rsidRPr="00474548">
        <w:rPr>
          <w:sz w:val="22"/>
          <w:szCs w:val="22"/>
          <w:lang w:val="en-US"/>
        </w:rPr>
        <w:t>.</w:t>
      </w:r>
    </w:p>
    <w:p w14:paraId="57310FBB" w14:textId="77777777" w:rsidR="00FC75F3" w:rsidRPr="00474548" w:rsidRDefault="00FC75F3" w:rsidP="008E6F8E">
      <w:pPr>
        <w:suppressAutoHyphens w:val="0"/>
        <w:autoSpaceDE w:val="0"/>
        <w:autoSpaceDN w:val="0"/>
        <w:adjustRightInd w:val="0"/>
        <w:ind w:firstLine="709"/>
        <w:jc w:val="both"/>
        <w:rPr>
          <w:rFonts w:eastAsiaTheme="minorEastAsia"/>
          <w:kern w:val="0"/>
          <w:sz w:val="22"/>
          <w:szCs w:val="22"/>
          <w:lang w:val="en-US"/>
        </w:rPr>
      </w:pPr>
    </w:p>
    <w:p w14:paraId="64F4DB7E" w14:textId="77777777" w:rsidR="005B605A" w:rsidRPr="00474548" w:rsidRDefault="005B605A" w:rsidP="00FC75F3">
      <w:pPr>
        <w:pStyle w:val="Heading1"/>
        <w:spacing w:before="0" w:after="0"/>
        <w:rPr>
          <w:sz w:val="22"/>
          <w:szCs w:val="22"/>
          <w:lang w:val="en-US"/>
        </w:rPr>
      </w:pPr>
      <w:bookmarkStart w:id="2" w:name="_Toc296969089"/>
      <w:bookmarkStart w:id="3" w:name="_Toc296969090"/>
      <w:bookmarkStart w:id="4" w:name="_Toc296969091"/>
      <w:bookmarkStart w:id="5" w:name="_Toc296969092"/>
      <w:bookmarkStart w:id="6" w:name="_Toc296969093"/>
      <w:bookmarkStart w:id="7" w:name="_Toc296969094"/>
      <w:bookmarkStart w:id="8" w:name="_Toc296969095"/>
      <w:bookmarkStart w:id="9" w:name="_Toc389514248"/>
      <w:bookmarkStart w:id="10" w:name="_Toc391473685"/>
      <w:bookmarkEnd w:id="2"/>
      <w:bookmarkEnd w:id="3"/>
      <w:bookmarkEnd w:id="4"/>
      <w:bookmarkEnd w:id="5"/>
      <w:bookmarkEnd w:id="6"/>
      <w:bookmarkEnd w:id="7"/>
      <w:bookmarkEnd w:id="8"/>
      <w:r w:rsidRPr="00474548">
        <w:rPr>
          <w:sz w:val="22"/>
          <w:szCs w:val="22"/>
          <w:lang w:val="en-US"/>
        </w:rPr>
        <w:t>THEORETICAL-EMPIRICAL FRAMEWORK</w:t>
      </w:r>
      <w:bookmarkEnd w:id="9"/>
      <w:bookmarkEnd w:id="10"/>
    </w:p>
    <w:p w14:paraId="436FA5BA" w14:textId="799C2580" w:rsidR="00A7626D" w:rsidRPr="00474548" w:rsidRDefault="000B7B96" w:rsidP="00FC75F3">
      <w:pPr>
        <w:suppressAutoHyphens w:val="0"/>
        <w:autoSpaceDE w:val="0"/>
        <w:autoSpaceDN w:val="0"/>
        <w:adjustRightInd w:val="0"/>
        <w:ind w:firstLine="720"/>
        <w:jc w:val="both"/>
        <w:rPr>
          <w:rFonts w:eastAsiaTheme="minorEastAsia"/>
          <w:kern w:val="0"/>
          <w:sz w:val="22"/>
          <w:szCs w:val="22"/>
          <w:lang w:val="en-US"/>
        </w:rPr>
      </w:pPr>
      <w:r w:rsidRPr="00474548">
        <w:rPr>
          <w:sz w:val="22"/>
          <w:szCs w:val="22"/>
          <w:lang w:val="en-US"/>
        </w:rPr>
        <w:t xml:space="preserve">The </w:t>
      </w:r>
      <w:r w:rsidR="00276EEE" w:rsidRPr="00474548">
        <w:rPr>
          <w:sz w:val="22"/>
          <w:szCs w:val="22"/>
          <w:lang w:val="en-US"/>
        </w:rPr>
        <w:t>RC</w:t>
      </w:r>
      <w:r w:rsidRPr="00474548">
        <w:rPr>
          <w:sz w:val="22"/>
          <w:szCs w:val="22"/>
          <w:lang w:val="en-US"/>
        </w:rPr>
        <w:t xml:space="preserve"> analysis and the </w:t>
      </w:r>
      <w:r w:rsidR="00F86FBE" w:rsidRPr="00474548">
        <w:rPr>
          <w:sz w:val="22"/>
          <w:szCs w:val="22"/>
          <w:lang w:val="en-US"/>
        </w:rPr>
        <w:t xml:space="preserve">risk </w:t>
      </w:r>
      <w:r w:rsidRPr="00474548">
        <w:rPr>
          <w:sz w:val="22"/>
          <w:szCs w:val="22"/>
          <w:lang w:val="en-US"/>
        </w:rPr>
        <w:t xml:space="preserve">impact on </w:t>
      </w:r>
      <w:r w:rsidR="00F86FBE" w:rsidRPr="00474548">
        <w:rPr>
          <w:sz w:val="22"/>
          <w:szCs w:val="22"/>
          <w:lang w:val="en-US"/>
        </w:rPr>
        <w:t>the</w:t>
      </w:r>
      <w:r w:rsidR="009F2C79" w:rsidRPr="00474548">
        <w:rPr>
          <w:sz w:val="22"/>
          <w:szCs w:val="22"/>
          <w:lang w:val="en-US"/>
        </w:rPr>
        <w:t xml:space="preserve"> </w:t>
      </w:r>
      <w:r w:rsidRPr="00474548">
        <w:rPr>
          <w:sz w:val="22"/>
          <w:szCs w:val="22"/>
          <w:lang w:val="en-US"/>
        </w:rPr>
        <w:t xml:space="preserve">private equity </w:t>
      </w:r>
      <w:r w:rsidR="00F86FBE" w:rsidRPr="00474548">
        <w:rPr>
          <w:sz w:val="22"/>
          <w:szCs w:val="22"/>
          <w:lang w:val="en-US"/>
        </w:rPr>
        <w:t>s</w:t>
      </w:r>
      <w:r w:rsidRPr="00474548">
        <w:rPr>
          <w:sz w:val="22"/>
          <w:szCs w:val="22"/>
          <w:lang w:val="en-US"/>
        </w:rPr>
        <w:t xml:space="preserve">hares invested in the </w:t>
      </w:r>
      <w:r w:rsidR="009F2C79" w:rsidRPr="00474548">
        <w:rPr>
          <w:sz w:val="22"/>
          <w:szCs w:val="22"/>
          <w:lang w:val="en-US"/>
        </w:rPr>
        <w:t xml:space="preserve">Brazilian government-regulated </w:t>
      </w:r>
      <w:r w:rsidRPr="00474548">
        <w:rPr>
          <w:sz w:val="22"/>
          <w:szCs w:val="22"/>
          <w:lang w:val="en-US"/>
        </w:rPr>
        <w:t xml:space="preserve">electricity market </w:t>
      </w:r>
      <w:r w:rsidR="001F5B4D" w:rsidRPr="00474548">
        <w:rPr>
          <w:sz w:val="22"/>
          <w:szCs w:val="22"/>
          <w:lang w:val="en-US"/>
        </w:rPr>
        <w:t>require</w:t>
      </w:r>
      <w:r w:rsidRPr="00474548">
        <w:rPr>
          <w:sz w:val="22"/>
          <w:szCs w:val="22"/>
          <w:lang w:val="en-US"/>
        </w:rPr>
        <w:t xml:space="preserve"> a focused review </w:t>
      </w:r>
      <w:r w:rsidR="009F2C79" w:rsidRPr="00474548">
        <w:rPr>
          <w:sz w:val="22"/>
          <w:szCs w:val="22"/>
          <w:lang w:val="en-US"/>
        </w:rPr>
        <w:t xml:space="preserve">of </w:t>
      </w:r>
      <w:r w:rsidR="00F86FBE" w:rsidRPr="00474548">
        <w:rPr>
          <w:sz w:val="22"/>
          <w:szCs w:val="22"/>
          <w:lang w:val="en-US"/>
        </w:rPr>
        <w:t xml:space="preserve">the </w:t>
      </w:r>
      <w:r w:rsidRPr="00474548">
        <w:rPr>
          <w:sz w:val="22"/>
          <w:szCs w:val="22"/>
          <w:lang w:val="en-US"/>
        </w:rPr>
        <w:t>pricing models, regulation, regulatory risk</w:t>
      </w:r>
      <w:r w:rsidR="00F86FBE" w:rsidRPr="00474548">
        <w:rPr>
          <w:sz w:val="22"/>
          <w:szCs w:val="22"/>
          <w:lang w:val="en-US"/>
        </w:rPr>
        <w:t>,</w:t>
      </w:r>
      <w:r w:rsidRPr="00474548">
        <w:rPr>
          <w:sz w:val="22"/>
          <w:szCs w:val="22"/>
          <w:lang w:val="en-US"/>
        </w:rPr>
        <w:t xml:space="preserve"> and especially the electricity market. </w:t>
      </w:r>
    </w:p>
    <w:p w14:paraId="1BF5667A" w14:textId="77777777" w:rsidR="00BC2E87" w:rsidRPr="00474548" w:rsidRDefault="00BC2E87" w:rsidP="008E6F8E">
      <w:pPr>
        <w:suppressAutoHyphens w:val="0"/>
        <w:autoSpaceDE w:val="0"/>
        <w:autoSpaceDN w:val="0"/>
        <w:adjustRightInd w:val="0"/>
        <w:ind w:firstLine="720"/>
        <w:jc w:val="both"/>
        <w:rPr>
          <w:rFonts w:eastAsiaTheme="minorEastAsia"/>
          <w:kern w:val="0"/>
          <w:sz w:val="22"/>
          <w:szCs w:val="22"/>
          <w:lang w:val="en-US"/>
        </w:rPr>
      </w:pPr>
    </w:p>
    <w:p w14:paraId="1D085BEE" w14:textId="2176D249" w:rsidR="005B605A" w:rsidRPr="00474548" w:rsidRDefault="005B605A" w:rsidP="008E6F8E">
      <w:pPr>
        <w:pStyle w:val="Subtitle"/>
        <w:rPr>
          <w:rFonts w:ascii="Times New Roman" w:hAnsi="Times New Roman"/>
          <w:b/>
          <w:sz w:val="22"/>
          <w:szCs w:val="22"/>
          <w:lang w:val="en-US"/>
        </w:rPr>
      </w:pPr>
      <w:bookmarkStart w:id="11" w:name="_Toc391473686"/>
      <w:r w:rsidRPr="00474548">
        <w:rPr>
          <w:rFonts w:ascii="Times New Roman" w:hAnsi="Times New Roman"/>
          <w:b/>
          <w:sz w:val="22"/>
          <w:szCs w:val="22"/>
          <w:lang w:val="en-US"/>
        </w:rPr>
        <w:t xml:space="preserve">2.1 </w:t>
      </w:r>
      <w:r w:rsidR="009F2C79" w:rsidRPr="00474548">
        <w:rPr>
          <w:rFonts w:ascii="Times New Roman" w:hAnsi="Times New Roman"/>
          <w:b/>
          <w:sz w:val="22"/>
          <w:szCs w:val="22"/>
          <w:lang w:val="en-US"/>
        </w:rPr>
        <w:t xml:space="preserve">Financial Asset </w:t>
      </w:r>
      <w:r w:rsidRPr="00474548">
        <w:rPr>
          <w:rFonts w:ascii="Times New Roman" w:hAnsi="Times New Roman"/>
          <w:b/>
          <w:sz w:val="22"/>
          <w:szCs w:val="22"/>
          <w:lang w:val="en-US"/>
        </w:rPr>
        <w:t xml:space="preserve">Pricing Models </w:t>
      </w:r>
      <w:bookmarkEnd w:id="11"/>
    </w:p>
    <w:p w14:paraId="64BB7D1F" w14:textId="4C90E55E" w:rsidR="005B605A" w:rsidRPr="00474548" w:rsidRDefault="009F2C79" w:rsidP="008E6F8E">
      <w:pPr>
        <w:ind w:firstLine="709"/>
        <w:jc w:val="both"/>
        <w:rPr>
          <w:sz w:val="22"/>
          <w:szCs w:val="22"/>
          <w:lang w:val="en-US"/>
        </w:rPr>
      </w:pPr>
      <w:r w:rsidRPr="00474548">
        <w:rPr>
          <w:sz w:val="22"/>
          <w:szCs w:val="22"/>
          <w:lang w:val="en-US"/>
        </w:rPr>
        <w:t xml:space="preserve">Harry Markowitz established the </w:t>
      </w:r>
      <w:r w:rsidR="005B605A" w:rsidRPr="00474548">
        <w:rPr>
          <w:sz w:val="22"/>
          <w:szCs w:val="22"/>
          <w:lang w:val="en-US"/>
        </w:rPr>
        <w:t xml:space="preserve">landmark </w:t>
      </w:r>
      <w:r w:rsidRPr="00474548">
        <w:rPr>
          <w:sz w:val="22"/>
          <w:szCs w:val="22"/>
          <w:lang w:val="en-US"/>
        </w:rPr>
        <w:t>for</w:t>
      </w:r>
      <w:r w:rsidR="005B605A" w:rsidRPr="00474548">
        <w:rPr>
          <w:sz w:val="22"/>
          <w:szCs w:val="22"/>
          <w:lang w:val="en-US"/>
        </w:rPr>
        <w:t xml:space="preserve"> studies related to risk in 1952, in the </w:t>
      </w:r>
      <w:r w:rsidR="005B605A" w:rsidRPr="00474548">
        <w:rPr>
          <w:iCs/>
          <w:sz w:val="22"/>
          <w:szCs w:val="22"/>
          <w:lang w:val="en-US"/>
        </w:rPr>
        <w:t>Portfolio Selection</w:t>
      </w:r>
      <w:r w:rsidR="005B605A" w:rsidRPr="00474548">
        <w:rPr>
          <w:sz w:val="22"/>
          <w:szCs w:val="22"/>
          <w:lang w:val="en-US"/>
        </w:rPr>
        <w:t xml:space="preserve"> study. Markowitz (1952)</w:t>
      </w:r>
      <w:r w:rsidR="004043F0" w:rsidRPr="00474548">
        <w:rPr>
          <w:sz w:val="22"/>
          <w:szCs w:val="22"/>
          <w:lang w:val="en-US"/>
        </w:rPr>
        <w:t xml:space="preserve"> emphasizes that </w:t>
      </w:r>
      <w:r w:rsidR="005B605A" w:rsidRPr="00474548">
        <w:rPr>
          <w:sz w:val="22"/>
          <w:szCs w:val="22"/>
          <w:lang w:val="en-US"/>
        </w:rPr>
        <w:t>risk in the financial area is measured by the variance of returns or t</w:t>
      </w:r>
      <w:r w:rsidR="0075496B" w:rsidRPr="00474548">
        <w:rPr>
          <w:sz w:val="22"/>
          <w:szCs w:val="22"/>
          <w:lang w:val="en-US"/>
        </w:rPr>
        <w:t xml:space="preserve">he deviation from the average. </w:t>
      </w:r>
      <w:r w:rsidR="005B605A" w:rsidRPr="00474548">
        <w:rPr>
          <w:sz w:val="22"/>
          <w:szCs w:val="22"/>
          <w:lang w:val="en-US"/>
        </w:rPr>
        <w:t xml:space="preserve">Sharpe (1964) points out that asset prices </w:t>
      </w:r>
      <w:r w:rsidR="00F86FBE" w:rsidRPr="00474548">
        <w:rPr>
          <w:sz w:val="22"/>
          <w:szCs w:val="22"/>
          <w:lang w:val="en-US"/>
        </w:rPr>
        <w:t xml:space="preserve">have </w:t>
      </w:r>
      <w:r w:rsidR="005B605A" w:rsidRPr="00474548">
        <w:rPr>
          <w:sz w:val="22"/>
          <w:szCs w:val="22"/>
          <w:lang w:val="en-US"/>
        </w:rPr>
        <w:t>a close relationship with risk, measured by the beta coefficient, and that investment decisions are constructed from two variables: (</w:t>
      </w:r>
      <w:proofErr w:type="spellStart"/>
      <w:r w:rsidR="005B605A" w:rsidRPr="00474548">
        <w:rPr>
          <w:sz w:val="22"/>
          <w:szCs w:val="22"/>
          <w:lang w:val="en-US"/>
        </w:rPr>
        <w:t>i</w:t>
      </w:r>
      <w:proofErr w:type="spellEnd"/>
      <w:r w:rsidR="005B605A" w:rsidRPr="00474548">
        <w:rPr>
          <w:sz w:val="22"/>
          <w:szCs w:val="22"/>
          <w:lang w:val="en-US"/>
        </w:rPr>
        <w:t>) the mathematical expectation of returns</w:t>
      </w:r>
      <w:r w:rsidR="004043F0" w:rsidRPr="00474548">
        <w:rPr>
          <w:sz w:val="22"/>
          <w:szCs w:val="22"/>
          <w:lang w:val="en-US"/>
        </w:rPr>
        <w:t>,</w:t>
      </w:r>
      <w:r w:rsidR="005B605A" w:rsidRPr="00474548">
        <w:rPr>
          <w:sz w:val="22"/>
          <w:szCs w:val="22"/>
          <w:lang w:val="en-US"/>
        </w:rPr>
        <w:t xml:space="preserve"> and (ii) the standard deviation from the probability distribution. </w:t>
      </w:r>
    </w:p>
    <w:p w14:paraId="07BBE8EE" w14:textId="6E640135" w:rsidR="005B605A" w:rsidRPr="00474548" w:rsidRDefault="005B605A" w:rsidP="008E6F8E">
      <w:pPr>
        <w:ind w:firstLine="709"/>
        <w:jc w:val="both"/>
        <w:rPr>
          <w:rFonts w:eastAsia="Times New Roman"/>
          <w:kern w:val="0"/>
          <w:sz w:val="22"/>
          <w:szCs w:val="22"/>
          <w:lang w:val="en-US"/>
        </w:rPr>
      </w:pPr>
      <w:r w:rsidRPr="00474548">
        <w:rPr>
          <w:sz w:val="22"/>
          <w:szCs w:val="22"/>
          <w:lang w:val="en-US"/>
        </w:rPr>
        <w:t>The risk of an asset is characterized by the level of uncertainty of its profitability</w:t>
      </w:r>
      <w:r w:rsidR="004043F0" w:rsidRPr="00474548">
        <w:rPr>
          <w:sz w:val="22"/>
          <w:szCs w:val="22"/>
          <w:lang w:val="en-US"/>
        </w:rPr>
        <w:t>,</w:t>
      </w:r>
      <w:r w:rsidRPr="00474548">
        <w:rPr>
          <w:sz w:val="22"/>
          <w:szCs w:val="22"/>
          <w:lang w:val="en-US"/>
        </w:rPr>
        <w:t xml:space="preserve"> and </w:t>
      </w:r>
      <w:r w:rsidR="004043F0" w:rsidRPr="00474548">
        <w:rPr>
          <w:sz w:val="22"/>
          <w:szCs w:val="22"/>
          <w:lang w:val="en-US"/>
        </w:rPr>
        <w:t xml:space="preserve">it </w:t>
      </w:r>
      <w:r w:rsidRPr="00474548">
        <w:rPr>
          <w:sz w:val="22"/>
          <w:szCs w:val="22"/>
          <w:lang w:val="en-US"/>
        </w:rPr>
        <w:t xml:space="preserve">can be affected by several variables. </w:t>
      </w:r>
      <w:r w:rsidRPr="00474548">
        <w:rPr>
          <w:color w:val="000000"/>
          <w:sz w:val="22"/>
          <w:szCs w:val="22"/>
          <w:shd w:val="clear" w:color="auto" w:fill="FFFFFF"/>
          <w:lang w:val="en-US"/>
        </w:rPr>
        <w:t xml:space="preserve">In literature, the measure devoted to risk and return of assets evaluation is based on the </w:t>
      </w:r>
      <w:r w:rsidR="009F2C79" w:rsidRPr="00474548">
        <w:rPr>
          <w:color w:val="000000"/>
          <w:sz w:val="22"/>
          <w:szCs w:val="22"/>
          <w:shd w:val="clear" w:color="auto" w:fill="FFFFFF"/>
          <w:lang w:val="en-US"/>
        </w:rPr>
        <w:t xml:space="preserve">Financial Assets </w:t>
      </w:r>
      <w:r w:rsidRPr="00474548">
        <w:rPr>
          <w:color w:val="000000"/>
          <w:sz w:val="22"/>
          <w:szCs w:val="22"/>
          <w:shd w:val="clear" w:color="auto" w:fill="FFFFFF"/>
          <w:lang w:val="en-US"/>
        </w:rPr>
        <w:t xml:space="preserve">Pricing Model (Sharp, 1964; </w:t>
      </w:r>
      <w:proofErr w:type="spellStart"/>
      <w:r w:rsidRPr="00474548">
        <w:rPr>
          <w:color w:val="000000"/>
          <w:sz w:val="22"/>
          <w:szCs w:val="22"/>
          <w:shd w:val="clear" w:color="auto" w:fill="FFFFFF"/>
          <w:lang w:val="en-US"/>
        </w:rPr>
        <w:t>Lintner</w:t>
      </w:r>
      <w:proofErr w:type="spellEnd"/>
      <w:r w:rsidRPr="00474548">
        <w:rPr>
          <w:color w:val="000000"/>
          <w:sz w:val="22"/>
          <w:szCs w:val="22"/>
          <w:shd w:val="clear" w:color="auto" w:fill="FFFFFF"/>
          <w:lang w:val="en-US"/>
        </w:rPr>
        <w:t>, 1965; Black, 1972)</w:t>
      </w:r>
      <w:r w:rsidR="009F2C79" w:rsidRPr="00474548">
        <w:rPr>
          <w:color w:val="000000"/>
          <w:sz w:val="22"/>
          <w:szCs w:val="22"/>
          <w:shd w:val="clear" w:color="auto" w:fill="FFFFFF"/>
          <w:lang w:val="en-US"/>
        </w:rPr>
        <w:t xml:space="preserve">. The </w:t>
      </w:r>
      <w:r w:rsidRPr="00474548">
        <w:rPr>
          <w:color w:val="000000"/>
          <w:sz w:val="22"/>
          <w:szCs w:val="22"/>
          <w:shd w:val="clear" w:color="auto" w:fill="FFFFFF"/>
          <w:lang w:val="en-US"/>
        </w:rPr>
        <w:t xml:space="preserve">theoretical assumption underlying the </w:t>
      </w:r>
      <w:r w:rsidR="00F86FBE" w:rsidRPr="00474548">
        <w:rPr>
          <w:color w:val="000000"/>
          <w:sz w:val="22"/>
          <w:szCs w:val="22"/>
          <w:shd w:val="clear" w:color="auto" w:fill="FFFFFF"/>
          <w:lang w:val="en-US"/>
        </w:rPr>
        <w:t xml:space="preserve">model </w:t>
      </w:r>
      <w:r w:rsidRPr="00474548">
        <w:rPr>
          <w:color w:val="000000"/>
          <w:sz w:val="22"/>
          <w:szCs w:val="22"/>
          <w:shd w:val="clear" w:color="auto" w:fill="FFFFFF"/>
          <w:lang w:val="en-US"/>
        </w:rPr>
        <w:t xml:space="preserve">is the Efficient Market Hypothesis. </w:t>
      </w:r>
      <w:r w:rsidRPr="00474548">
        <w:rPr>
          <w:sz w:val="22"/>
          <w:szCs w:val="22"/>
          <w:lang w:val="en-US"/>
        </w:rPr>
        <w:t xml:space="preserve">Capital Asset Pricing Model (CAPM) is a methodology used to explain the </w:t>
      </w:r>
      <w:r w:rsidR="00F86FBE" w:rsidRPr="00474548">
        <w:rPr>
          <w:sz w:val="22"/>
          <w:szCs w:val="22"/>
          <w:lang w:val="en-US"/>
        </w:rPr>
        <w:t>behavior</w:t>
      </w:r>
      <w:r w:rsidRPr="00474548">
        <w:rPr>
          <w:sz w:val="22"/>
          <w:szCs w:val="22"/>
          <w:lang w:val="en-US"/>
        </w:rPr>
        <w:t xml:space="preserve"> of the prices of financial assets prone to risk. The CAPM was originally developed by Sharpe (1964) and since then, has been widely studied in literature </w:t>
      </w:r>
      <w:r w:rsidR="009F2C79" w:rsidRPr="00474548">
        <w:rPr>
          <w:sz w:val="22"/>
          <w:szCs w:val="22"/>
          <w:lang w:val="en-US"/>
        </w:rPr>
        <w:t xml:space="preserve">based on </w:t>
      </w:r>
      <w:r w:rsidR="00F86FBE" w:rsidRPr="00474548">
        <w:rPr>
          <w:sz w:val="22"/>
          <w:szCs w:val="22"/>
          <w:lang w:val="en-US"/>
        </w:rPr>
        <w:t xml:space="preserve">studies by </w:t>
      </w:r>
      <w:r w:rsidRPr="00474548">
        <w:rPr>
          <w:sz w:val="22"/>
          <w:szCs w:val="22"/>
          <w:lang w:val="en-US"/>
        </w:rPr>
        <w:t>Markowitz (1952) and Tobin (1958). Markowitz (1952) explains that the investor</w:t>
      </w:r>
      <w:r w:rsidR="009F2C79" w:rsidRPr="00474548">
        <w:rPr>
          <w:sz w:val="22"/>
          <w:szCs w:val="22"/>
          <w:lang w:val="en-US"/>
        </w:rPr>
        <w:t>,</w:t>
      </w:r>
      <w:r w:rsidRPr="00474548">
        <w:rPr>
          <w:sz w:val="22"/>
          <w:szCs w:val="22"/>
          <w:lang w:val="en-US"/>
        </w:rPr>
        <w:t xml:space="preserve"> when building investment portfolios</w:t>
      </w:r>
      <w:r w:rsidR="009F2C79" w:rsidRPr="00474548">
        <w:rPr>
          <w:sz w:val="22"/>
          <w:szCs w:val="22"/>
          <w:lang w:val="en-US"/>
        </w:rPr>
        <w:t>,</w:t>
      </w:r>
      <w:r w:rsidRPr="00474548">
        <w:rPr>
          <w:sz w:val="22"/>
          <w:szCs w:val="22"/>
          <w:lang w:val="en-US"/>
        </w:rPr>
        <w:t xml:space="preserve"> seeks to reduce risk through diversification, combining negatively correlated assets, i.e., ranging in opposite directions, </w:t>
      </w:r>
      <w:r w:rsidR="00312475" w:rsidRPr="00474548">
        <w:rPr>
          <w:sz w:val="22"/>
          <w:szCs w:val="22"/>
          <w:lang w:val="en-US"/>
        </w:rPr>
        <w:t xml:space="preserve">and </w:t>
      </w:r>
      <w:r w:rsidRPr="00474548">
        <w:rPr>
          <w:sz w:val="22"/>
          <w:szCs w:val="22"/>
          <w:lang w:val="en-US"/>
        </w:rPr>
        <w:t xml:space="preserve">ensuring the portfolio return. </w:t>
      </w:r>
    </w:p>
    <w:p w14:paraId="4EE39DB2" w14:textId="4A7D35CF" w:rsidR="005B605A" w:rsidRPr="00474548" w:rsidRDefault="005B605A" w:rsidP="008E6F8E">
      <w:pPr>
        <w:pStyle w:val="NoSpacing"/>
        <w:ind w:firstLine="708"/>
        <w:jc w:val="both"/>
        <w:rPr>
          <w:rFonts w:ascii="Times New Roman" w:hAnsi="Times New Roman" w:cs="Times New Roman"/>
          <w:lang w:val="en-US"/>
        </w:rPr>
      </w:pPr>
      <w:r w:rsidRPr="00474548">
        <w:rPr>
          <w:rFonts w:ascii="Times New Roman" w:hAnsi="Times New Roman" w:cs="Times New Roman"/>
          <w:lang w:val="en-US"/>
        </w:rPr>
        <w:t xml:space="preserve">In CAPM, the only thing that is specific to a particular asset is its </w:t>
      </w:r>
      <w:r w:rsidR="00312475" w:rsidRPr="00474548">
        <w:rPr>
          <w:rFonts w:ascii="Times New Roman" w:hAnsi="Times New Roman" w:cs="Times New Roman"/>
          <w:lang w:val="en-US"/>
        </w:rPr>
        <w:t>b</w:t>
      </w:r>
      <w:r w:rsidRPr="00474548">
        <w:rPr>
          <w:rFonts w:ascii="Times New Roman" w:hAnsi="Times New Roman" w:cs="Times New Roman"/>
          <w:lang w:val="en-US"/>
        </w:rPr>
        <w:t xml:space="preserve">eta. In this case, </w:t>
      </w:r>
      <w:r w:rsidR="0035671A" w:rsidRPr="00474548">
        <w:rPr>
          <w:rFonts w:ascii="Times New Roman" w:hAnsi="Times New Roman" w:cs="Times New Roman"/>
          <w:lang w:val="en-US"/>
        </w:rPr>
        <w:t xml:space="preserve">the excess </w:t>
      </w:r>
      <w:r w:rsidR="00312475" w:rsidRPr="00474548">
        <w:rPr>
          <w:rFonts w:ascii="Times New Roman" w:hAnsi="Times New Roman" w:cs="Times New Roman"/>
          <w:lang w:val="en-US"/>
        </w:rPr>
        <w:t xml:space="preserve">return </w:t>
      </w:r>
      <w:r w:rsidR="0035671A" w:rsidRPr="00474548">
        <w:rPr>
          <w:rFonts w:ascii="Times New Roman" w:hAnsi="Times New Roman" w:cs="Times New Roman"/>
          <w:lang w:val="en-US"/>
        </w:rPr>
        <w:t>over the market</w:t>
      </w:r>
      <w:r w:rsidR="0035671A" w:rsidRPr="00474548" w:rsidDel="0035671A">
        <w:rPr>
          <w:rFonts w:ascii="Times New Roman" w:hAnsi="Times New Roman" w:cs="Times New Roman"/>
          <w:lang w:val="en-US"/>
        </w:rPr>
        <w:t xml:space="preserve"> </w:t>
      </w:r>
      <w:r w:rsidRPr="00474548">
        <w:rPr>
          <w:rFonts w:ascii="Times New Roman" w:hAnsi="Times New Roman" w:cs="Times New Roman"/>
          <w:lang w:val="en-US"/>
        </w:rPr>
        <w:t xml:space="preserve">determines the asset return responsiveness. </w:t>
      </w:r>
    </w:p>
    <w:p w14:paraId="23B619DC" w14:textId="77777777" w:rsidR="00D929F4" w:rsidRPr="00474548" w:rsidRDefault="00D929F4" w:rsidP="008E6F8E">
      <w:pPr>
        <w:pStyle w:val="NoSpacing"/>
        <w:ind w:firstLine="708"/>
        <w:jc w:val="both"/>
        <w:rPr>
          <w:rFonts w:ascii="Times New Roman" w:hAnsi="Times New Roman" w:cs="Times New Roman"/>
          <w:lang w:val="en-US"/>
        </w:rPr>
      </w:pPr>
    </w:p>
    <w:p w14:paraId="0D258817" w14:textId="15AE0A32" w:rsidR="00FF2D6B" w:rsidRPr="00474548" w:rsidRDefault="00312475" w:rsidP="008E6F8E">
      <w:pPr>
        <w:pStyle w:val="Resumo"/>
        <w:ind w:firstLine="720"/>
        <w:rPr>
          <w:rFonts w:ascii="Times New Roman" w:hAnsi="Times New Roman"/>
          <w:sz w:val="22"/>
          <w:szCs w:val="22"/>
          <w:lang w:val="en-US"/>
        </w:rPr>
      </w:pPr>
      <w:r w:rsidRPr="00474548">
        <w:rPr>
          <w:rFonts w:ascii="Times New Roman" w:hAnsi="Times New Roman"/>
          <w:sz w:val="22"/>
          <w:szCs w:val="22"/>
          <w:lang w:val="en-US"/>
        </w:rPr>
        <w:t xml:space="preserve">The </w:t>
      </w:r>
      <w:r w:rsidR="005B605A" w:rsidRPr="00474548">
        <w:rPr>
          <w:rFonts w:ascii="Times New Roman" w:hAnsi="Times New Roman"/>
          <w:sz w:val="22"/>
          <w:szCs w:val="22"/>
          <w:lang w:val="en-US"/>
        </w:rPr>
        <w:t>CAPM equation is:</w:t>
      </w:r>
    </w:p>
    <w:p w14:paraId="1C0AE54D" w14:textId="77777777" w:rsidR="00D929F4" w:rsidRPr="00474548" w:rsidRDefault="00D929F4" w:rsidP="008E6F8E">
      <w:pPr>
        <w:pStyle w:val="Resumo"/>
        <w:ind w:firstLine="720"/>
        <w:rPr>
          <w:rFonts w:ascii="Times New Roman" w:hAnsi="Times New Roman"/>
          <w:sz w:val="22"/>
          <w:szCs w:val="22"/>
          <w:lang w:val="en-US"/>
        </w:rPr>
      </w:pPr>
    </w:p>
    <w:p w14:paraId="73E28656" w14:textId="02258C26" w:rsidR="005B605A" w:rsidRPr="00474548" w:rsidRDefault="00FC75F3" w:rsidP="008E6F8E">
      <w:pPr>
        <w:ind w:firstLine="720"/>
        <w:rPr>
          <w:b/>
          <w:sz w:val="22"/>
          <w:szCs w:val="22"/>
          <w:lang w:val="en-US"/>
        </w:rPr>
      </w:pPr>
      <w:r w:rsidRPr="00474548">
        <w:rPr>
          <w:b/>
          <w:noProof/>
          <w:position w:val="-14"/>
          <w:lang w:val="en-US" w:eastAsia="en-US" w:bidi="ar-SA"/>
        </w:rPr>
        <w:drawing>
          <wp:inline distT="0" distB="0" distL="0" distR="0" wp14:anchorId="6C77A451" wp14:editId="17827094">
            <wp:extent cx="1953260" cy="242570"/>
            <wp:effectExtent l="0" t="0" r="2540" b="1143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260" cy="242570"/>
                    </a:xfrm>
                    <a:prstGeom prst="rect">
                      <a:avLst/>
                    </a:prstGeom>
                    <a:noFill/>
                    <a:ln>
                      <a:noFill/>
                    </a:ln>
                  </pic:spPr>
                </pic:pic>
              </a:graphicData>
            </a:graphic>
          </wp:inline>
        </w:drawing>
      </w:r>
      <w:r w:rsidR="001F2317" w:rsidRPr="00474548">
        <w:rPr>
          <w:b/>
          <w:sz w:val="22"/>
          <w:szCs w:val="22"/>
          <w:lang w:val="en-US"/>
        </w:rPr>
        <w:t xml:space="preserve"> ,</w:t>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001F2317" w:rsidRPr="00474548">
        <w:rPr>
          <w:b/>
          <w:sz w:val="22"/>
          <w:szCs w:val="22"/>
          <w:lang w:val="en-US"/>
        </w:rPr>
        <w:t xml:space="preserve"> </w:t>
      </w:r>
      <w:r w:rsidR="001F2317" w:rsidRPr="00474548">
        <w:rPr>
          <w:sz w:val="22"/>
          <w:szCs w:val="22"/>
          <w:lang w:val="en-US"/>
        </w:rPr>
        <w:t>(1)</w:t>
      </w:r>
    </w:p>
    <w:p w14:paraId="0FC0EC8C" w14:textId="77777777" w:rsidR="00CD28F3" w:rsidRPr="00474548" w:rsidRDefault="00CD28F3" w:rsidP="008E6F8E">
      <w:pPr>
        <w:ind w:firstLine="720"/>
        <w:rPr>
          <w:sz w:val="22"/>
          <w:szCs w:val="22"/>
          <w:lang w:val="en-US"/>
        </w:rPr>
      </w:pPr>
    </w:p>
    <w:p w14:paraId="7CD5CD31" w14:textId="1F719CD7" w:rsidR="005B605A" w:rsidRPr="00474548" w:rsidRDefault="00312475" w:rsidP="008E6F8E">
      <w:pPr>
        <w:jc w:val="both"/>
        <w:rPr>
          <w:sz w:val="22"/>
          <w:szCs w:val="22"/>
          <w:lang w:val="en-US"/>
        </w:rPr>
      </w:pPr>
      <w:r w:rsidRPr="00474548">
        <w:rPr>
          <w:i/>
          <w:sz w:val="22"/>
          <w:szCs w:val="22"/>
          <w:lang w:val="en-US"/>
        </w:rPr>
        <w:t>w</w:t>
      </w:r>
      <w:r w:rsidR="00D929F4" w:rsidRPr="00474548">
        <w:rPr>
          <w:i/>
          <w:sz w:val="22"/>
          <w:szCs w:val="22"/>
          <w:lang w:val="en-US"/>
        </w:rPr>
        <w:t>here</w:t>
      </w:r>
      <w:r w:rsidRPr="00474548">
        <w:rPr>
          <w:i/>
          <w:sz w:val="22"/>
          <w:szCs w:val="22"/>
          <w:lang w:val="en-US"/>
        </w:rPr>
        <w:t>,</w:t>
      </w:r>
      <w:r w:rsidR="00D929F4" w:rsidRPr="00474548">
        <w:rPr>
          <w:i/>
          <w:sz w:val="22"/>
          <w:szCs w:val="22"/>
          <w:lang w:val="en-US"/>
        </w:rPr>
        <w:t xml:space="preserve"> </w:t>
      </w:r>
      <w:proofErr w:type="spellStart"/>
      <w:r w:rsidR="00D929F4" w:rsidRPr="00474548">
        <w:rPr>
          <w:i/>
          <w:sz w:val="22"/>
          <w:szCs w:val="22"/>
          <w:lang w:val="en-US"/>
        </w:rPr>
        <w:t>R</w:t>
      </w:r>
      <w:r w:rsidR="00D929F4" w:rsidRPr="00474548">
        <w:rPr>
          <w:i/>
          <w:sz w:val="22"/>
          <w:szCs w:val="22"/>
          <w:vertAlign w:val="subscript"/>
          <w:lang w:val="en-US"/>
        </w:rPr>
        <w:t>i</w:t>
      </w:r>
      <w:proofErr w:type="spellEnd"/>
      <w:r w:rsidR="0075496B" w:rsidRPr="00474548">
        <w:rPr>
          <w:sz w:val="22"/>
          <w:szCs w:val="22"/>
          <w:lang w:val="en-US"/>
        </w:rPr>
        <w:t xml:space="preserve"> </w:t>
      </w:r>
      <w:r w:rsidR="00D929F4" w:rsidRPr="00474548">
        <w:rPr>
          <w:sz w:val="22"/>
          <w:szCs w:val="22"/>
          <w:lang w:val="en-US"/>
        </w:rPr>
        <w:t>is the bond rate</w:t>
      </w:r>
      <w:r w:rsidR="00403FBD" w:rsidRPr="00474548">
        <w:rPr>
          <w:sz w:val="22"/>
          <w:szCs w:val="22"/>
          <w:lang w:val="en-US"/>
        </w:rPr>
        <w:t xml:space="preserve"> of return</w:t>
      </w:r>
      <w:r w:rsidR="00D929F4" w:rsidRPr="00474548">
        <w:rPr>
          <w:sz w:val="22"/>
          <w:szCs w:val="22"/>
          <w:lang w:val="en-US"/>
        </w:rPr>
        <w:t xml:space="preserve">, </w:t>
      </w:r>
      <w:proofErr w:type="spellStart"/>
      <w:r w:rsidR="00D929F4" w:rsidRPr="00474548">
        <w:rPr>
          <w:i/>
          <w:sz w:val="22"/>
          <w:szCs w:val="22"/>
          <w:lang w:val="en-US"/>
        </w:rPr>
        <w:t>R</w:t>
      </w:r>
      <w:r w:rsidR="00D929F4" w:rsidRPr="00474548">
        <w:rPr>
          <w:i/>
          <w:sz w:val="22"/>
          <w:szCs w:val="22"/>
          <w:vertAlign w:val="subscript"/>
          <w:lang w:val="en-US"/>
        </w:rPr>
        <w:t>f</w:t>
      </w:r>
      <w:proofErr w:type="spellEnd"/>
      <w:r w:rsidR="00D929F4" w:rsidRPr="00474548">
        <w:rPr>
          <w:i/>
          <w:sz w:val="22"/>
          <w:szCs w:val="22"/>
          <w:lang w:val="en-US"/>
        </w:rPr>
        <w:t xml:space="preserve"> </w:t>
      </w:r>
      <w:r w:rsidR="00D929F4" w:rsidRPr="00474548">
        <w:rPr>
          <w:sz w:val="22"/>
          <w:szCs w:val="22"/>
          <w:lang w:val="en-US"/>
        </w:rPr>
        <w:t>is the risk free rate, β</w:t>
      </w:r>
      <w:r w:rsidR="00D929F4" w:rsidRPr="00474548">
        <w:rPr>
          <w:sz w:val="22"/>
          <w:szCs w:val="22"/>
          <w:lang w:val="en-US"/>
        </w:rPr>
        <w:softHyphen/>
      </w:r>
      <w:proofErr w:type="spellStart"/>
      <w:r w:rsidR="00D929F4" w:rsidRPr="00474548">
        <w:rPr>
          <w:i/>
          <w:sz w:val="22"/>
          <w:szCs w:val="22"/>
          <w:vertAlign w:val="subscript"/>
          <w:lang w:val="en-US"/>
        </w:rPr>
        <w:t>i</w:t>
      </w:r>
      <w:proofErr w:type="spellEnd"/>
      <w:r w:rsidR="00D929F4" w:rsidRPr="00474548">
        <w:rPr>
          <w:sz w:val="22"/>
          <w:szCs w:val="22"/>
          <w:lang w:val="en-US"/>
        </w:rPr>
        <w:t xml:space="preserve"> is the </w:t>
      </w:r>
      <w:r w:rsidR="00403FBD" w:rsidRPr="00474548">
        <w:rPr>
          <w:sz w:val="22"/>
          <w:szCs w:val="22"/>
          <w:lang w:val="en-US"/>
        </w:rPr>
        <w:t>b</w:t>
      </w:r>
      <w:r w:rsidR="00D929F4" w:rsidRPr="00474548">
        <w:rPr>
          <w:sz w:val="22"/>
          <w:szCs w:val="22"/>
          <w:lang w:val="en-US"/>
        </w:rPr>
        <w:t xml:space="preserve">eta </w:t>
      </w:r>
      <w:r w:rsidR="00403FBD" w:rsidRPr="00474548">
        <w:rPr>
          <w:sz w:val="22"/>
          <w:szCs w:val="22"/>
          <w:lang w:val="en-US"/>
        </w:rPr>
        <w:t>c</w:t>
      </w:r>
      <w:r w:rsidR="00D929F4" w:rsidRPr="00474548">
        <w:rPr>
          <w:sz w:val="22"/>
          <w:szCs w:val="22"/>
          <w:lang w:val="en-US"/>
        </w:rPr>
        <w:t>oefficient of the bond</w:t>
      </w:r>
      <w:r w:rsidRPr="00474548">
        <w:rPr>
          <w:sz w:val="22"/>
          <w:szCs w:val="22"/>
          <w:lang w:val="en-US"/>
        </w:rPr>
        <w:t>,</w:t>
      </w:r>
      <w:r w:rsidR="00D929F4" w:rsidRPr="00474548">
        <w:rPr>
          <w:sz w:val="22"/>
          <w:szCs w:val="22"/>
          <w:lang w:val="en-US"/>
        </w:rPr>
        <w:t xml:space="preserve"> and </w:t>
      </w:r>
      <w:proofErr w:type="spellStart"/>
      <w:r w:rsidR="00D929F4" w:rsidRPr="00474548">
        <w:rPr>
          <w:i/>
          <w:sz w:val="22"/>
          <w:szCs w:val="22"/>
          <w:lang w:val="en-US"/>
        </w:rPr>
        <w:t>R</w:t>
      </w:r>
      <w:r w:rsidR="00D929F4" w:rsidRPr="00474548">
        <w:rPr>
          <w:i/>
          <w:sz w:val="22"/>
          <w:szCs w:val="22"/>
          <w:vertAlign w:val="subscript"/>
          <w:lang w:val="en-US"/>
        </w:rPr>
        <w:t>m</w:t>
      </w:r>
      <w:proofErr w:type="spellEnd"/>
      <w:r w:rsidR="0075496B" w:rsidRPr="00474548">
        <w:rPr>
          <w:sz w:val="22"/>
          <w:szCs w:val="22"/>
          <w:lang w:val="en-US"/>
        </w:rPr>
        <w:t xml:space="preserve"> </w:t>
      </w:r>
      <w:r w:rsidR="00D929F4" w:rsidRPr="00474548">
        <w:rPr>
          <w:sz w:val="22"/>
          <w:szCs w:val="22"/>
          <w:lang w:val="en-US"/>
        </w:rPr>
        <w:t xml:space="preserve">is the </w:t>
      </w:r>
      <w:r w:rsidR="00403FBD" w:rsidRPr="00474548">
        <w:rPr>
          <w:sz w:val="22"/>
          <w:szCs w:val="22"/>
          <w:lang w:val="en-US"/>
        </w:rPr>
        <w:t>m</w:t>
      </w:r>
      <w:r w:rsidR="00D929F4" w:rsidRPr="00474548">
        <w:rPr>
          <w:sz w:val="22"/>
          <w:szCs w:val="22"/>
          <w:lang w:val="en-US"/>
        </w:rPr>
        <w:t xml:space="preserve">arket return. The </w:t>
      </w:r>
      <w:r w:rsidR="00B47541" w:rsidRPr="00474548">
        <w:rPr>
          <w:sz w:val="22"/>
          <w:szCs w:val="22"/>
          <w:lang w:val="en-US"/>
        </w:rPr>
        <w:t>b</w:t>
      </w:r>
      <w:r w:rsidR="00D929F4" w:rsidRPr="00474548">
        <w:rPr>
          <w:sz w:val="22"/>
          <w:szCs w:val="22"/>
          <w:lang w:val="en-US"/>
        </w:rPr>
        <w:t>eta term is used in</w:t>
      </w:r>
      <w:r w:rsidRPr="00474548">
        <w:rPr>
          <w:sz w:val="22"/>
          <w:szCs w:val="22"/>
          <w:lang w:val="en-US"/>
        </w:rPr>
        <w:t xml:space="preserve"> </w:t>
      </w:r>
      <w:r w:rsidR="00D929F4" w:rsidRPr="00474548">
        <w:rPr>
          <w:sz w:val="22"/>
          <w:szCs w:val="22"/>
          <w:lang w:val="en-US"/>
        </w:rPr>
        <w:t xml:space="preserve">CAPM to describe the average volatility of assets relative to the market as a whole. More specifically, it is estimating its covariance or co-movement with a diversified assets portfolio return. </w:t>
      </w:r>
      <w:r w:rsidR="0035671A" w:rsidRPr="00474548">
        <w:rPr>
          <w:sz w:val="22"/>
          <w:szCs w:val="22"/>
          <w:lang w:val="en-US"/>
        </w:rPr>
        <w:t xml:space="preserve">The </w:t>
      </w:r>
      <w:r w:rsidR="00B47541" w:rsidRPr="00474548">
        <w:rPr>
          <w:sz w:val="22"/>
          <w:szCs w:val="22"/>
          <w:lang w:val="en-US"/>
        </w:rPr>
        <w:t>b</w:t>
      </w:r>
      <w:r w:rsidR="00D929F4" w:rsidRPr="00474548">
        <w:rPr>
          <w:sz w:val="22"/>
          <w:szCs w:val="22"/>
          <w:lang w:val="en-US"/>
        </w:rPr>
        <w:t xml:space="preserve">eta </w:t>
      </w:r>
      <w:r w:rsidR="00B47541" w:rsidRPr="00474548">
        <w:rPr>
          <w:sz w:val="22"/>
          <w:szCs w:val="22"/>
          <w:lang w:val="en-US"/>
        </w:rPr>
        <w:t>c</w:t>
      </w:r>
      <w:r w:rsidR="00D929F4" w:rsidRPr="00474548">
        <w:rPr>
          <w:sz w:val="22"/>
          <w:szCs w:val="22"/>
          <w:lang w:val="en-US"/>
        </w:rPr>
        <w:t xml:space="preserve">oefficient calculated by CAPM is </w:t>
      </w:r>
      <w:r w:rsidRPr="00474548">
        <w:rPr>
          <w:sz w:val="22"/>
          <w:szCs w:val="22"/>
          <w:lang w:val="en-US"/>
        </w:rPr>
        <w:t xml:space="preserve">quantified </w:t>
      </w:r>
      <w:r w:rsidR="00D929F4" w:rsidRPr="00474548">
        <w:rPr>
          <w:sz w:val="22"/>
          <w:szCs w:val="22"/>
          <w:lang w:val="en-US"/>
        </w:rPr>
        <w:t xml:space="preserve">by the </w:t>
      </w:r>
      <w:r w:rsidRPr="00474548">
        <w:rPr>
          <w:sz w:val="22"/>
          <w:szCs w:val="22"/>
          <w:lang w:val="en-US"/>
        </w:rPr>
        <w:t xml:space="preserve">following </w:t>
      </w:r>
      <w:r w:rsidR="00D929F4" w:rsidRPr="00474548">
        <w:rPr>
          <w:sz w:val="22"/>
          <w:szCs w:val="22"/>
          <w:lang w:val="en-US"/>
        </w:rPr>
        <w:t>expression:</w:t>
      </w:r>
    </w:p>
    <w:p w14:paraId="312DD43A" w14:textId="77777777" w:rsidR="005B605A" w:rsidRPr="00474548" w:rsidRDefault="005B605A" w:rsidP="008E6F8E">
      <w:pPr>
        <w:pStyle w:val="Resumo"/>
        <w:ind w:firstLine="720"/>
        <w:jc w:val="both"/>
        <w:rPr>
          <w:rFonts w:ascii="Times New Roman" w:hAnsi="Times New Roman"/>
          <w:sz w:val="22"/>
          <w:szCs w:val="22"/>
          <w:lang w:val="en-US"/>
        </w:rPr>
      </w:pPr>
    </w:p>
    <w:p w14:paraId="40B3ECB3" w14:textId="55E91785" w:rsidR="005B605A" w:rsidRPr="00474548" w:rsidRDefault="001F2317" w:rsidP="00FC75F3">
      <w:pPr>
        <w:pStyle w:val="Resumo"/>
        <w:ind w:firstLine="720"/>
        <w:rPr>
          <w:rFonts w:ascii="Times New Roman" w:hAnsi="Times New Roman"/>
          <w:sz w:val="22"/>
          <w:szCs w:val="22"/>
          <w:lang w:val="en-US"/>
        </w:rPr>
      </w:pPr>
      <w:r w:rsidRPr="00474548">
        <w:rPr>
          <w:rFonts w:ascii="Times New Roman" w:hAnsi="Times New Roman"/>
          <w:b/>
          <w:noProof/>
          <w:position w:val="-30"/>
          <w:sz w:val="22"/>
          <w:szCs w:val="22"/>
          <w:lang w:val="en-US" w:eastAsia="en-US" w:bidi="ar-SA"/>
        </w:rPr>
        <w:lastRenderedPageBreak/>
        <w:drawing>
          <wp:inline distT="0" distB="0" distL="0" distR="0" wp14:anchorId="24F6D326" wp14:editId="78364B06">
            <wp:extent cx="1184210" cy="452786"/>
            <wp:effectExtent l="0" t="0" r="1016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210" cy="452786"/>
                    </a:xfrm>
                    <a:prstGeom prst="rect">
                      <a:avLst/>
                    </a:prstGeom>
                    <a:noFill/>
                    <a:ln>
                      <a:noFill/>
                    </a:ln>
                  </pic:spPr>
                </pic:pic>
              </a:graphicData>
            </a:graphic>
          </wp:inline>
        </w:drawing>
      </w:r>
      <w:r w:rsidRPr="00474548">
        <w:rPr>
          <w:rFonts w:ascii="Times New Roman" w:hAnsi="Times New Roman"/>
          <w:b/>
          <w:sz w:val="22"/>
          <w:szCs w:val="22"/>
          <w:lang w:val="en-US"/>
        </w:rPr>
        <w:t>,</w:t>
      </w:r>
      <w:r w:rsidR="009E7C81" w:rsidRPr="00474548">
        <w:rPr>
          <w:rFonts w:ascii="Times New Roman" w:hAnsi="Times New Roman"/>
          <w:b/>
          <w:sz w:val="22"/>
          <w:szCs w:val="22"/>
          <w:lang w:val="en-US"/>
        </w:rPr>
        <w:tab/>
      </w:r>
      <w:r w:rsidR="009E7C81" w:rsidRPr="00474548">
        <w:rPr>
          <w:rFonts w:ascii="Times New Roman" w:hAnsi="Times New Roman"/>
          <w:b/>
          <w:sz w:val="22"/>
          <w:szCs w:val="22"/>
          <w:lang w:val="en-US"/>
        </w:rPr>
        <w:tab/>
      </w:r>
      <w:r w:rsidR="009E7C81" w:rsidRPr="00474548">
        <w:rPr>
          <w:rFonts w:ascii="Times New Roman" w:hAnsi="Times New Roman"/>
          <w:b/>
          <w:sz w:val="22"/>
          <w:szCs w:val="22"/>
          <w:lang w:val="en-US"/>
        </w:rPr>
        <w:tab/>
      </w:r>
      <w:r w:rsidR="009E7C81" w:rsidRPr="00474548">
        <w:rPr>
          <w:rFonts w:ascii="Times New Roman" w:hAnsi="Times New Roman"/>
          <w:b/>
          <w:sz w:val="22"/>
          <w:szCs w:val="22"/>
          <w:lang w:val="en-US"/>
        </w:rPr>
        <w:tab/>
      </w:r>
      <w:r w:rsidR="009E7C81" w:rsidRPr="00474548">
        <w:rPr>
          <w:rFonts w:ascii="Times New Roman" w:hAnsi="Times New Roman"/>
          <w:b/>
          <w:sz w:val="22"/>
          <w:szCs w:val="22"/>
          <w:lang w:val="en-US"/>
        </w:rPr>
        <w:tab/>
      </w:r>
      <w:r w:rsidR="009E7C81" w:rsidRPr="00474548">
        <w:rPr>
          <w:rFonts w:ascii="Times New Roman" w:hAnsi="Times New Roman"/>
          <w:b/>
          <w:sz w:val="22"/>
          <w:szCs w:val="22"/>
          <w:lang w:val="en-US"/>
        </w:rPr>
        <w:tab/>
      </w:r>
      <w:r w:rsidR="009E7C81" w:rsidRPr="00474548">
        <w:rPr>
          <w:rFonts w:ascii="Times New Roman" w:hAnsi="Times New Roman"/>
          <w:b/>
          <w:sz w:val="22"/>
          <w:szCs w:val="22"/>
          <w:lang w:val="en-US"/>
        </w:rPr>
        <w:tab/>
      </w:r>
      <w:r w:rsidR="009E7C81" w:rsidRPr="00474548">
        <w:rPr>
          <w:rFonts w:ascii="Times New Roman" w:hAnsi="Times New Roman"/>
          <w:b/>
          <w:sz w:val="22"/>
          <w:szCs w:val="22"/>
          <w:lang w:val="en-US"/>
        </w:rPr>
        <w:tab/>
      </w:r>
      <w:r w:rsidR="009E7C81" w:rsidRPr="00474548">
        <w:rPr>
          <w:rFonts w:ascii="Times New Roman" w:hAnsi="Times New Roman"/>
          <w:b/>
          <w:sz w:val="22"/>
          <w:szCs w:val="22"/>
          <w:lang w:val="en-US"/>
        </w:rPr>
        <w:tab/>
      </w:r>
      <w:r w:rsidRPr="00474548">
        <w:rPr>
          <w:rFonts w:ascii="Times New Roman" w:hAnsi="Times New Roman"/>
          <w:b/>
          <w:sz w:val="22"/>
          <w:szCs w:val="22"/>
          <w:lang w:val="en-US"/>
        </w:rPr>
        <w:t xml:space="preserve"> </w:t>
      </w:r>
      <w:r w:rsidRPr="00474548">
        <w:rPr>
          <w:rFonts w:ascii="Times New Roman" w:hAnsi="Times New Roman"/>
          <w:sz w:val="22"/>
          <w:szCs w:val="22"/>
          <w:lang w:val="en-US"/>
        </w:rPr>
        <w:t>(2)</w:t>
      </w:r>
    </w:p>
    <w:p w14:paraId="226A0D37" w14:textId="77777777" w:rsidR="000F7154" w:rsidRPr="00474548" w:rsidRDefault="000F7154" w:rsidP="008E6F8E">
      <w:pPr>
        <w:jc w:val="both"/>
        <w:rPr>
          <w:i/>
          <w:iCs/>
          <w:sz w:val="22"/>
          <w:szCs w:val="22"/>
          <w:lang w:val="en-US"/>
        </w:rPr>
      </w:pPr>
    </w:p>
    <w:p w14:paraId="518C651F" w14:textId="1CFD5B0A" w:rsidR="005B605A" w:rsidRPr="00474548" w:rsidRDefault="00312475" w:rsidP="008E6F8E">
      <w:pPr>
        <w:jc w:val="both"/>
        <w:rPr>
          <w:sz w:val="22"/>
          <w:szCs w:val="22"/>
          <w:lang w:val="en-US"/>
        </w:rPr>
      </w:pPr>
      <w:r w:rsidRPr="00474548">
        <w:rPr>
          <w:i/>
          <w:iCs/>
          <w:sz w:val="22"/>
          <w:szCs w:val="22"/>
          <w:lang w:val="en-US"/>
        </w:rPr>
        <w:t>w</w:t>
      </w:r>
      <w:r w:rsidR="00D929F4" w:rsidRPr="00474548">
        <w:rPr>
          <w:i/>
          <w:iCs/>
          <w:sz w:val="22"/>
          <w:szCs w:val="22"/>
          <w:lang w:val="en-US"/>
        </w:rPr>
        <w:t>here</w:t>
      </w:r>
      <w:r w:rsidRPr="00474548">
        <w:rPr>
          <w:i/>
          <w:iCs/>
          <w:sz w:val="22"/>
          <w:szCs w:val="22"/>
          <w:lang w:val="en-US"/>
        </w:rPr>
        <w:t>,</w:t>
      </w:r>
      <w:r w:rsidR="00D929F4" w:rsidRPr="00474548">
        <w:rPr>
          <w:i/>
          <w:sz w:val="22"/>
          <w:szCs w:val="22"/>
          <w:lang w:val="en-US"/>
        </w:rPr>
        <w:t xml:space="preserve"> </w:t>
      </w:r>
      <w:proofErr w:type="spellStart"/>
      <w:r w:rsidR="00D929F4" w:rsidRPr="00474548">
        <w:rPr>
          <w:i/>
          <w:sz w:val="22"/>
          <w:szCs w:val="22"/>
          <w:lang w:val="en-US"/>
        </w:rPr>
        <w:t>R</w:t>
      </w:r>
      <w:r w:rsidR="00D929F4" w:rsidRPr="00474548">
        <w:rPr>
          <w:i/>
          <w:sz w:val="22"/>
          <w:szCs w:val="22"/>
          <w:vertAlign w:val="subscript"/>
          <w:lang w:val="en-US"/>
        </w:rPr>
        <w:t>i</w:t>
      </w:r>
      <w:proofErr w:type="spellEnd"/>
      <w:r w:rsidR="00D929F4" w:rsidRPr="00474548">
        <w:rPr>
          <w:sz w:val="22"/>
          <w:szCs w:val="22"/>
          <w:lang w:val="en-US"/>
        </w:rPr>
        <w:t xml:space="preserve"> and </w:t>
      </w:r>
      <w:proofErr w:type="spellStart"/>
      <w:r w:rsidR="00D929F4" w:rsidRPr="00474548">
        <w:rPr>
          <w:i/>
          <w:sz w:val="22"/>
          <w:szCs w:val="22"/>
          <w:lang w:val="en-US"/>
        </w:rPr>
        <w:t>R</w:t>
      </w:r>
      <w:r w:rsidR="00D929F4" w:rsidRPr="00474548">
        <w:rPr>
          <w:i/>
          <w:sz w:val="22"/>
          <w:szCs w:val="22"/>
          <w:vertAlign w:val="subscript"/>
          <w:lang w:val="en-US"/>
        </w:rPr>
        <w:t>m</w:t>
      </w:r>
      <w:proofErr w:type="spellEnd"/>
      <w:r w:rsidR="00D929F4" w:rsidRPr="00474548">
        <w:rPr>
          <w:sz w:val="22"/>
          <w:szCs w:val="22"/>
          <w:lang w:val="en-US"/>
        </w:rPr>
        <w:t xml:space="preserve"> have already established</w:t>
      </w:r>
      <w:r w:rsidR="0017087E" w:rsidRPr="00474548">
        <w:rPr>
          <w:sz w:val="22"/>
          <w:szCs w:val="22"/>
          <w:lang w:val="en-US"/>
        </w:rPr>
        <w:t xml:space="preserve"> meanings</w:t>
      </w:r>
      <w:r w:rsidR="00D929F4" w:rsidRPr="00474548">
        <w:rPr>
          <w:sz w:val="22"/>
          <w:szCs w:val="22"/>
          <w:lang w:val="en-US"/>
        </w:rPr>
        <w:t xml:space="preserve">, </w:t>
      </w:r>
      <w:proofErr w:type="spellStart"/>
      <w:r w:rsidR="00D929F4" w:rsidRPr="00474548">
        <w:rPr>
          <w:i/>
          <w:sz w:val="22"/>
          <w:szCs w:val="22"/>
          <w:lang w:val="en-US"/>
        </w:rPr>
        <w:t>Cov</w:t>
      </w:r>
      <w:proofErr w:type="spellEnd"/>
      <w:r w:rsidR="00D929F4" w:rsidRPr="00474548">
        <w:rPr>
          <w:sz w:val="22"/>
          <w:szCs w:val="22"/>
          <w:lang w:val="en-US"/>
        </w:rPr>
        <w:t xml:space="preserve"> represents covariance and </w:t>
      </w:r>
      <w:proofErr w:type="spellStart"/>
      <w:r w:rsidR="00D929F4" w:rsidRPr="00474548">
        <w:rPr>
          <w:i/>
          <w:sz w:val="22"/>
          <w:szCs w:val="22"/>
          <w:lang w:val="en-US"/>
        </w:rPr>
        <w:t>Var</w:t>
      </w:r>
      <w:proofErr w:type="spellEnd"/>
      <w:r w:rsidR="00D929F4" w:rsidRPr="00474548">
        <w:rPr>
          <w:sz w:val="22"/>
          <w:szCs w:val="22"/>
          <w:lang w:val="en-US"/>
        </w:rPr>
        <w:t xml:space="preserve"> the variance.</w:t>
      </w:r>
    </w:p>
    <w:p w14:paraId="121024CA" w14:textId="3A1CAA17" w:rsidR="005B605A" w:rsidRPr="00474548" w:rsidRDefault="005B605A" w:rsidP="008E6F8E">
      <w:pPr>
        <w:ind w:firstLine="709"/>
        <w:jc w:val="both"/>
        <w:rPr>
          <w:sz w:val="22"/>
          <w:szCs w:val="22"/>
          <w:lang w:val="en-US"/>
        </w:rPr>
      </w:pPr>
      <w:r w:rsidRPr="00474548">
        <w:rPr>
          <w:sz w:val="22"/>
          <w:szCs w:val="22"/>
          <w:lang w:val="en-US"/>
        </w:rPr>
        <w:t>In</w:t>
      </w:r>
      <w:r w:rsidR="0035671A" w:rsidRPr="00474548">
        <w:rPr>
          <w:sz w:val="22"/>
          <w:szCs w:val="22"/>
          <w:lang w:val="en-US"/>
        </w:rPr>
        <w:t xml:space="preserve"> </w:t>
      </w:r>
      <w:r w:rsidRPr="00474548">
        <w:rPr>
          <w:sz w:val="22"/>
          <w:szCs w:val="22"/>
          <w:lang w:val="en-US"/>
        </w:rPr>
        <w:t xml:space="preserve">CAPM, the beta to measure </w:t>
      </w:r>
      <w:r w:rsidR="0035671A" w:rsidRPr="00474548">
        <w:rPr>
          <w:sz w:val="22"/>
          <w:szCs w:val="22"/>
          <w:lang w:val="en-US"/>
        </w:rPr>
        <w:t xml:space="preserve">a bond’s </w:t>
      </w:r>
      <w:r w:rsidRPr="00474548">
        <w:rPr>
          <w:sz w:val="22"/>
          <w:szCs w:val="22"/>
          <w:lang w:val="en-US"/>
        </w:rPr>
        <w:t xml:space="preserve">sensitivity to market portfolio movements reflects a standardized risk measure. </w:t>
      </w:r>
      <w:r w:rsidR="0035671A" w:rsidRPr="00474548">
        <w:rPr>
          <w:sz w:val="22"/>
          <w:szCs w:val="22"/>
          <w:lang w:val="en-US"/>
        </w:rPr>
        <w:t>In</w:t>
      </w:r>
      <w:r w:rsidRPr="00474548">
        <w:rPr>
          <w:sz w:val="22"/>
          <w:szCs w:val="22"/>
          <w:lang w:val="en-US"/>
        </w:rPr>
        <w:t xml:space="preserve"> regulated sectors, the dominant element in its capital cost (</w:t>
      </w:r>
      <w:proofErr w:type="spellStart"/>
      <w:r w:rsidRPr="00474548">
        <w:rPr>
          <w:sz w:val="22"/>
          <w:szCs w:val="22"/>
          <w:lang w:val="en-US"/>
        </w:rPr>
        <w:t>Ghossoub</w:t>
      </w:r>
      <w:proofErr w:type="spellEnd"/>
      <w:r w:rsidRPr="00474548">
        <w:rPr>
          <w:sz w:val="22"/>
          <w:szCs w:val="22"/>
          <w:lang w:val="en-US"/>
        </w:rPr>
        <w:t xml:space="preserve"> and Reed, 2014) will always be the market's expected return, with a significantly smaller role for the free risk rate (Wright et al., 2003). </w:t>
      </w:r>
    </w:p>
    <w:p w14:paraId="4A65CDB6" w14:textId="098A25D7" w:rsidR="00EC3A3F" w:rsidRPr="00474548" w:rsidRDefault="00326CF2" w:rsidP="008E6F8E">
      <w:pPr>
        <w:ind w:firstLine="720"/>
        <w:jc w:val="both"/>
        <w:rPr>
          <w:sz w:val="22"/>
          <w:szCs w:val="22"/>
          <w:lang w:val="en-US"/>
        </w:rPr>
      </w:pPr>
      <w:r w:rsidRPr="00474548">
        <w:rPr>
          <w:sz w:val="22"/>
          <w:szCs w:val="22"/>
          <w:lang w:val="en-US"/>
        </w:rPr>
        <w:t xml:space="preserve">Subsequent to </w:t>
      </w:r>
      <w:r w:rsidR="001F5B4D" w:rsidRPr="00474548">
        <w:rPr>
          <w:sz w:val="22"/>
          <w:szCs w:val="22"/>
          <w:lang w:val="en-US"/>
        </w:rPr>
        <w:t xml:space="preserve">the formulation of the CAPM, </w:t>
      </w:r>
      <w:r w:rsidR="0035671A" w:rsidRPr="00474548">
        <w:rPr>
          <w:sz w:val="22"/>
          <w:szCs w:val="22"/>
          <w:lang w:val="en-US"/>
        </w:rPr>
        <w:t xml:space="preserve">Sharpe (1964) and </w:t>
      </w:r>
      <w:proofErr w:type="spellStart"/>
      <w:r w:rsidR="0035671A" w:rsidRPr="00474548">
        <w:rPr>
          <w:sz w:val="22"/>
          <w:szCs w:val="22"/>
          <w:lang w:val="en-US"/>
        </w:rPr>
        <w:t>Fama</w:t>
      </w:r>
      <w:proofErr w:type="spellEnd"/>
      <w:r w:rsidR="0035671A" w:rsidRPr="00474548">
        <w:rPr>
          <w:sz w:val="22"/>
          <w:szCs w:val="22"/>
          <w:lang w:val="en-US"/>
        </w:rPr>
        <w:t xml:space="preserve"> (1968) developed and extended </w:t>
      </w:r>
      <w:r w:rsidR="001F5B4D" w:rsidRPr="00474548">
        <w:rPr>
          <w:sz w:val="22"/>
          <w:szCs w:val="22"/>
          <w:lang w:val="en-US"/>
        </w:rPr>
        <w:t xml:space="preserve">the </w:t>
      </w:r>
      <w:r w:rsidRPr="00474548">
        <w:rPr>
          <w:sz w:val="22"/>
          <w:szCs w:val="22"/>
          <w:lang w:val="en-US"/>
        </w:rPr>
        <w:t>m</w:t>
      </w:r>
      <w:r w:rsidR="001F5B4D" w:rsidRPr="00474548">
        <w:rPr>
          <w:sz w:val="22"/>
          <w:szCs w:val="22"/>
          <w:lang w:val="en-US"/>
        </w:rPr>
        <w:t xml:space="preserve">arket </w:t>
      </w:r>
      <w:r w:rsidRPr="00474548">
        <w:rPr>
          <w:sz w:val="22"/>
          <w:szCs w:val="22"/>
          <w:lang w:val="en-US"/>
        </w:rPr>
        <w:t>m</w:t>
      </w:r>
      <w:r w:rsidR="001F5B4D" w:rsidRPr="00474548">
        <w:rPr>
          <w:sz w:val="22"/>
          <w:szCs w:val="22"/>
          <w:lang w:val="en-US"/>
        </w:rPr>
        <w:t xml:space="preserve">odel proposed by Markowitz (1959). </w:t>
      </w:r>
      <w:r w:rsidR="005B605A" w:rsidRPr="00474548">
        <w:rPr>
          <w:sz w:val="22"/>
          <w:szCs w:val="22"/>
          <w:lang w:val="en-US"/>
        </w:rPr>
        <w:t xml:space="preserve">The </w:t>
      </w:r>
      <w:r w:rsidRPr="00474548">
        <w:rPr>
          <w:sz w:val="22"/>
          <w:szCs w:val="22"/>
          <w:lang w:val="en-US"/>
        </w:rPr>
        <w:t>m</w:t>
      </w:r>
      <w:r w:rsidR="005B605A" w:rsidRPr="00474548">
        <w:rPr>
          <w:sz w:val="22"/>
          <w:szCs w:val="22"/>
          <w:lang w:val="en-US"/>
        </w:rPr>
        <w:t xml:space="preserve">arket </w:t>
      </w:r>
      <w:r w:rsidRPr="00474548">
        <w:rPr>
          <w:sz w:val="22"/>
          <w:szCs w:val="22"/>
          <w:lang w:val="en-US"/>
        </w:rPr>
        <w:t>m</w:t>
      </w:r>
      <w:r w:rsidR="005B605A" w:rsidRPr="00474548">
        <w:rPr>
          <w:sz w:val="22"/>
          <w:szCs w:val="22"/>
          <w:lang w:val="en-US"/>
        </w:rPr>
        <w:t>odel consists of a regression equation</w:t>
      </w:r>
      <w:r w:rsidRPr="00474548">
        <w:rPr>
          <w:sz w:val="22"/>
          <w:szCs w:val="22"/>
          <w:lang w:val="en-US"/>
        </w:rPr>
        <w:t xml:space="preserve"> that</w:t>
      </w:r>
      <w:r w:rsidR="005B605A" w:rsidRPr="00474548">
        <w:rPr>
          <w:sz w:val="22"/>
          <w:szCs w:val="22"/>
          <w:lang w:val="en-US"/>
        </w:rPr>
        <w:t xml:space="preserve"> seeks to explain the relationship between a particular share</w:t>
      </w:r>
      <w:r w:rsidR="0035671A" w:rsidRPr="00474548">
        <w:rPr>
          <w:sz w:val="22"/>
          <w:szCs w:val="22"/>
          <w:lang w:val="en-US"/>
        </w:rPr>
        <w:t>’s</w:t>
      </w:r>
      <w:r w:rsidR="005B605A" w:rsidRPr="00474548">
        <w:rPr>
          <w:sz w:val="22"/>
          <w:szCs w:val="22"/>
          <w:lang w:val="en-US"/>
        </w:rPr>
        <w:t xml:space="preserve"> </w:t>
      </w:r>
      <w:r w:rsidR="0035671A" w:rsidRPr="00474548">
        <w:rPr>
          <w:sz w:val="22"/>
          <w:szCs w:val="22"/>
          <w:lang w:val="en-US"/>
        </w:rPr>
        <w:t xml:space="preserve">movements </w:t>
      </w:r>
      <w:r w:rsidR="005B605A" w:rsidRPr="00474548">
        <w:rPr>
          <w:sz w:val="22"/>
          <w:szCs w:val="22"/>
          <w:lang w:val="en-US"/>
        </w:rPr>
        <w:t xml:space="preserve">in relation to </w:t>
      </w:r>
      <w:r w:rsidR="0035671A" w:rsidRPr="00474548">
        <w:rPr>
          <w:sz w:val="22"/>
          <w:szCs w:val="22"/>
          <w:lang w:val="en-US"/>
        </w:rPr>
        <w:t xml:space="preserve">those of the </w:t>
      </w:r>
      <w:r w:rsidR="005B605A" w:rsidRPr="00474548">
        <w:rPr>
          <w:sz w:val="22"/>
          <w:szCs w:val="22"/>
          <w:lang w:val="en-US"/>
        </w:rPr>
        <w:t>market (Black, Jensen</w:t>
      </w:r>
      <w:r w:rsidRPr="00474548">
        <w:rPr>
          <w:sz w:val="22"/>
          <w:szCs w:val="22"/>
          <w:lang w:val="en-US"/>
        </w:rPr>
        <w:t>,</w:t>
      </w:r>
      <w:r w:rsidR="005B605A" w:rsidRPr="00474548">
        <w:rPr>
          <w:sz w:val="22"/>
          <w:szCs w:val="22"/>
          <w:lang w:val="en-US"/>
        </w:rPr>
        <w:t xml:space="preserve"> and Scholes, 1972; </w:t>
      </w:r>
      <w:proofErr w:type="spellStart"/>
      <w:r w:rsidR="005B605A" w:rsidRPr="00474548">
        <w:rPr>
          <w:color w:val="333333"/>
          <w:sz w:val="22"/>
          <w:szCs w:val="22"/>
          <w:shd w:val="clear" w:color="auto" w:fill="FFFFFF"/>
          <w:lang w:val="en-US"/>
        </w:rPr>
        <w:t>Mackinlay</w:t>
      </w:r>
      <w:proofErr w:type="spellEnd"/>
      <w:r w:rsidR="005B605A" w:rsidRPr="00474548">
        <w:rPr>
          <w:color w:val="333333"/>
          <w:sz w:val="22"/>
          <w:szCs w:val="22"/>
          <w:shd w:val="clear" w:color="auto" w:fill="FFFFFF"/>
          <w:lang w:val="en-US"/>
        </w:rPr>
        <w:t>, 1997)</w:t>
      </w:r>
      <w:r w:rsidR="005B605A" w:rsidRPr="00474548">
        <w:rPr>
          <w:sz w:val="22"/>
          <w:szCs w:val="22"/>
          <w:lang w:val="en-US"/>
        </w:rPr>
        <w:t xml:space="preserve">. </w:t>
      </w:r>
    </w:p>
    <w:p w14:paraId="51EB0DCC" w14:textId="60DCA8C4" w:rsidR="005B605A" w:rsidRPr="00474548" w:rsidRDefault="0035671A" w:rsidP="008E6F8E">
      <w:pPr>
        <w:ind w:firstLine="720"/>
        <w:jc w:val="both"/>
        <w:rPr>
          <w:sz w:val="22"/>
          <w:szCs w:val="22"/>
          <w:lang w:val="en-US"/>
        </w:rPr>
      </w:pPr>
      <w:r w:rsidRPr="00474548">
        <w:rPr>
          <w:sz w:val="22"/>
          <w:szCs w:val="22"/>
          <w:lang w:val="en-US"/>
        </w:rPr>
        <w:t>T</w:t>
      </w:r>
      <w:r w:rsidR="00D929F4" w:rsidRPr="00474548">
        <w:rPr>
          <w:sz w:val="22"/>
          <w:szCs w:val="22"/>
          <w:lang w:val="en-US"/>
        </w:rPr>
        <w:t xml:space="preserve">he </w:t>
      </w:r>
      <w:r w:rsidR="00DA32FF" w:rsidRPr="00474548">
        <w:rPr>
          <w:sz w:val="22"/>
          <w:szCs w:val="22"/>
          <w:lang w:val="en-US"/>
        </w:rPr>
        <w:t>b</w:t>
      </w:r>
      <w:r w:rsidR="00D929F4" w:rsidRPr="00474548">
        <w:rPr>
          <w:sz w:val="22"/>
          <w:szCs w:val="22"/>
          <w:lang w:val="en-US"/>
        </w:rPr>
        <w:t xml:space="preserve">eta </w:t>
      </w:r>
      <w:r w:rsidR="00DA32FF" w:rsidRPr="00474548">
        <w:rPr>
          <w:sz w:val="22"/>
          <w:szCs w:val="22"/>
          <w:lang w:val="en-US"/>
        </w:rPr>
        <w:t xml:space="preserve">coefficient </w:t>
      </w:r>
      <w:r w:rsidR="00D929F4" w:rsidRPr="00474548">
        <w:rPr>
          <w:sz w:val="22"/>
          <w:szCs w:val="22"/>
          <w:lang w:val="en-US"/>
        </w:rPr>
        <w:t xml:space="preserve">differs between </w:t>
      </w:r>
      <w:r w:rsidR="00326CF2" w:rsidRPr="00474548">
        <w:rPr>
          <w:sz w:val="22"/>
          <w:szCs w:val="22"/>
          <w:lang w:val="en-US"/>
        </w:rPr>
        <w:t xml:space="preserve">the </w:t>
      </w:r>
      <w:r w:rsidR="00D929F4" w:rsidRPr="00474548">
        <w:rPr>
          <w:sz w:val="22"/>
          <w:szCs w:val="22"/>
          <w:lang w:val="en-US"/>
        </w:rPr>
        <w:t xml:space="preserve">CAPM and the </w:t>
      </w:r>
      <w:r w:rsidR="00326CF2" w:rsidRPr="00474548">
        <w:rPr>
          <w:sz w:val="22"/>
          <w:szCs w:val="22"/>
          <w:lang w:val="en-US"/>
        </w:rPr>
        <w:t>ma</w:t>
      </w:r>
      <w:r w:rsidR="00D929F4" w:rsidRPr="00474548">
        <w:rPr>
          <w:sz w:val="22"/>
          <w:szCs w:val="22"/>
          <w:lang w:val="en-US"/>
        </w:rPr>
        <w:t xml:space="preserve">rket </w:t>
      </w:r>
      <w:r w:rsidR="00326CF2" w:rsidRPr="00474548">
        <w:rPr>
          <w:sz w:val="22"/>
          <w:szCs w:val="22"/>
          <w:lang w:val="en-US"/>
        </w:rPr>
        <w:t>m</w:t>
      </w:r>
      <w:r w:rsidR="00D929F4" w:rsidRPr="00474548">
        <w:rPr>
          <w:sz w:val="22"/>
          <w:szCs w:val="22"/>
          <w:lang w:val="en-US"/>
        </w:rPr>
        <w:t xml:space="preserve">odel. The </w:t>
      </w:r>
      <w:r w:rsidR="008F3C33" w:rsidRPr="00474548">
        <w:rPr>
          <w:sz w:val="22"/>
          <w:szCs w:val="22"/>
          <w:lang w:val="en-US"/>
        </w:rPr>
        <w:t xml:space="preserve">former </w:t>
      </w:r>
      <w:r w:rsidR="00D929F4" w:rsidRPr="00474548">
        <w:rPr>
          <w:sz w:val="22"/>
          <w:szCs w:val="22"/>
          <w:lang w:val="en-US"/>
        </w:rPr>
        <w:t xml:space="preserve">results from a positive analysis, </w:t>
      </w:r>
      <w:r w:rsidRPr="00474548">
        <w:rPr>
          <w:sz w:val="22"/>
          <w:szCs w:val="22"/>
          <w:lang w:val="en-US"/>
        </w:rPr>
        <w:t xml:space="preserve">and </w:t>
      </w:r>
      <w:r w:rsidR="00D929F4" w:rsidRPr="00474548">
        <w:rPr>
          <w:sz w:val="22"/>
          <w:szCs w:val="22"/>
          <w:lang w:val="en-US"/>
        </w:rPr>
        <w:t xml:space="preserve">the </w:t>
      </w:r>
      <w:r w:rsidR="008F3C33" w:rsidRPr="00474548">
        <w:rPr>
          <w:sz w:val="22"/>
          <w:szCs w:val="22"/>
          <w:lang w:val="en-US"/>
        </w:rPr>
        <w:t xml:space="preserve">latter </w:t>
      </w:r>
      <w:r w:rsidR="00D929F4" w:rsidRPr="00474548">
        <w:rPr>
          <w:sz w:val="22"/>
          <w:szCs w:val="22"/>
          <w:lang w:val="en-US"/>
        </w:rPr>
        <w:t>from nor</w:t>
      </w:r>
      <w:r w:rsidR="006547D2" w:rsidRPr="00474548">
        <w:rPr>
          <w:sz w:val="22"/>
          <w:szCs w:val="22"/>
          <w:lang w:val="en-US"/>
        </w:rPr>
        <w:t>mative analysis (Markowitz, 1952</w:t>
      </w:r>
      <w:r w:rsidR="00D929F4" w:rsidRPr="00474548">
        <w:rPr>
          <w:sz w:val="22"/>
          <w:szCs w:val="22"/>
          <w:lang w:val="en-US"/>
        </w:rPr>
        <w:t xml:space="preserve">). </w:t>
      </w:r>
      <w:r w:rsidR="00326CF2" w:rsidRPr="00474548">
        <w:rPr>
          <w:sz w:val="22"/>
          <w:szCs w:val="22"/>
          <w:lang w:val="en-US"/>
        </w:rPr>
        <w:t>T</w:t>
      </w:r>
      <w:r w:rsidR="00D929F4" w:rsidRPr="00474548">
        <w:rPr>
          <w:sz w:val="22"/>
          <w:szCs w:val="22"/>
          <w:lang w:val="en-US"/>
        </w:rPr>
        <w:t>he positive analysis</w:t>
      </w:r>
      <w:r w:rsidR="00326CF2" w:rsidRPr="00474548">
        <w:rPr>
          <w:sz w:val="22"/>
          <w:szCs w:val="22"/>
          <w:lang w:val="en-US"/>
        </w:rPr>
        <w:t>,</w:t>
      </w:r>
      <w:r w:rsidR="00D929F4" w:rsidRPr="00474548">
        <w:rPr>
          <w:sz w:val="22"/>
          <w:szCs w:val="22"/>
          <w:lang w:val="en-US"/>
        </w:rPr>
        <w:t xml:space="preserve"> that characterizes CAPM</w:t>
      </w:r>
      <w:r w:rsidR="00326CF2" w:rsidRPr="00474548">
        <w:rPr>
          <w:sz w:val="22"/>
          <w:szCs w:val="22"/>
          <w:lang w:val="en-US"/>
        </w:rPr>
        <w:t>,</w:t>
      </w:r>
      <w:r w:rsidR="00D929F4" w:rsidRPr="00474548">
        <w:rPr>
          <w:sz w:val="22"/>
          <w:szCs w:val="22"/>
          <w:lang w:val="en-US"/>
        </w:rPr>
        <w:t xml:space="preserve"> considers a market where all investors have the same return expectation</w:t>
      </w:r>
      <w:r w:rsidR="00326CF2" w:rsidRPr="00474548">
        <w:rPr>
          <w:sz w:val="22"/>
          <w:szCs w:val="22"/>
          <w:lang w:val="en-US"/>
        </w:rPr>
        <w:t xml:space="preserve">. The other assumption is regarding </w:t>
      </w:r>
      <w:r w:rsidR="00D929F4" w:rsidRPr="00474548">
        <w:rPr>
          <w:sz w:val="22"/>
          <w:szCs w:val="22"/>
          <w:lang w:val="en-US"/>
        </w:rPr>
        <w:t xml:space="preserve">unrestricted access </w:t>
      </w:r>
      <w:r w:rsidR="00326CF2" w:rsidRPr="00474548">
        <w:rPr>
          <w:sz w:val="22"/>
          <w:szCs w:val="22"/>
          <w:lang w:val="en-US"/>
        </w:rPr>
        <w:t>for investors at</w:t>
      </w:r>
      <w:r w:rsidR="00D929F4" w:rsidRPr="00474548">
        <w:rPr>
          <w:sz w:val="22"/>
          <w:szCs w:val="22"/>
          <w:lang w:val="en-US"/>
        </w:rPr>
        <w:t xml:space="preserve"> risk free rate. The normative analysis of the </w:t>
      </w:r>
      <w:r w:rsidR="00A7128D" w:rsidRPr="00474548">
        <w:rPr>
          <w:sz w:val="22"/>
          <w:szCs w:val="22"/>
          <w:lang w:val="en-US"/>
        </w:rPr>
        <w:t>m</w:t>
      </w:r>
      <w:r w:rsidR="00D929F4" w:rsidRPr="00474548">
        <w:rPr>
          <w:sz w:val="22"/>
          <w:szCs w:val="22"/>
          <w:lang w:val="en-US"/>
        </w:rPr>
        <w:t xml:space="preserve">arket </w:t>
      </w:r>
      <w:r w:rsidR="00A7128D" w:rsidRPr="00474548">
        <w:rPr>
          <w:sz w:val="22"/>
          <w:szCs w:val="22"/>
          <w:lang w:val="en-US"/>
        </w:rPr>
        <w:t>m</w:t>
      </w:r>
      <w:r w:rsidR="00D929F4" w:rsidRPr="00474548">
        <w:rPr>
          <w:sz w:val="22"/>
          <w:szCs w:val="22"/>
          <w:lang w:val="en-US"/>
        </w:rPr>
        <w:t xml:space="preserve">odel does not require such assumptions. In this sense, the </w:t>
      </w:r>
      <w:r w:rsidR="00A7128D" w:rsidRPr="00474548">
        <w:rPr>
          <w:sz w:val="22"/>
          <w:szCs w:val="22"/>
          <w:lang w:val="en-US"/>
        </w:rPr>
        <w:t>m</w:t>
      </w:r>
      <w:r w:rsidR="00D929F4" w:rsidRPr="00474548">
        <w:rPr>
          <w:sz w:val="22"/>
          <w:szCs w:val="22"/>
          <w:lang w:val="en-US"/>
        </w:rPr>
        <w:t xml:space="preserve">arket </w:t>
      </w:r>
      <w:r w:rsidR="00A7128D" w:rsidRPr="00474548">
        <w:rPr>
          <w:sz w:val="22"/>
          <w:szCs w:val="22"/>
          <w:lang w:val="en-US"/>
        </w:rPr>
        <w:t>m</w:t>
      </w:r>
      <w:r w:rsidR="00D929F4" w:rsidRPr="00474548">
        <w:rPr>
          <w:sz w:val="22"/>
          <w:szCs w:val="22"/>
          <w:lang w:val="en-US"/>
        </w:rPr>
        <w:t>odel seeks to explain the correlation of share returns relative to the market return, according to the equation:</w:t>
      </w:r>
    </w:p>
    <w:p w14:paraId="75A2EAD9" w14:textId="77777777" w:rsidR="00EC3A3F" w:rsidRPr="00474548" w:rsidRDefault="00EC3A3F" w:rsidP="008E6F8E">
      <w:pPr>
        <w:ind w:firstLine="720"/>
        <w:jc w:val="both"/>
        <w:rPr>
          <w:sz w:val="22"/>
          <w:szCs w:val="22"/>
          <w:lang w:val="en-US"/>
        </w:rPr>
      </w:pPr>
    </w:p>
    <w:p w14:paraId="417D2D7E" w14:textId="6EDFB6DB" w:rsidR="005B605A" w:rsidRPr="00474548" w:rsidRDefault="00FC75F3" w:rsidP="008E6F8E">
      <w:pPr>
        <w:ind w:firstLine="720"/>
        <w:rPr>
          <w:sz w:val="22"/>
          <w:szCs w:val="22"/>
          <w:lang w:val="en-US"/>
        </w:rPr>
      </w:pPr>
      <w:r w:rsidRPr="00474548">
        <w:rPr>
          <w:b/>
          <w:noProof/>
          <w:position w:val="-12"/>
          <w:lang w:val="en-US" w:eastAsia="en-US" w:bidi="ar-SA"/>
        </w:rPr>
        <w:drawing>
          <wp:inline distT="0" distB="0" distL="0" distR="0" wp14:anchorId="317F3468" wp14:editId="235AD665">
            <wp:extent cx="1212051" cy="257086"/>
            <wp:effectExtent l="0" t="0" r="762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409" cy="257586"/>
                    </a:xfrm>
                    <a:prstGeom prst="rect">
                      <a:avLst/>
                    </a:prstGeom>
                    <a:noFill/>
                    <a:ln>
                      <a:noFill/>
                    </a:ln>
                  </pic:spPr>
                </pic:pic>
              </a:graphicData>
            </a:graphic>
          </wp:inline>
        </w:drawing>
      </w:r>
      <w:r w:rsidR="001F2317" w:rsidRPr="00474548">
        <w:rPr>
          <w:b/>
          <w:sz w:val="22"/>
          <w:szCs w:val="22"/>
          <w:lang w:val="en-US"/>
        </w:rPr>
        <w:t xml:space="preserve">, </w:t>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Pr="00474548">
        <w:rPr>
          <w:b/>
          <w:sz w:val="22"/>
          <w:szCs w:val="22"/>
          <w:lang w:val="en-US"/>
        </w:rPr>
        <w:t xml:space="preserve">   </w:t>
      </w:r>
      <w:r w:rsidRPr="00474548">
        <w:rPr>
          <w:b/>
          <w:sz w:val="22"/>
          <w:szCs w:val="22"/>
          <w:lang w:val="en-US"/>
        </w:rPr>
        <w:tab/>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009E7C81" w:rsidRPr="00474548">
        <w:rPr>
          <w:b/>
          <w:sz w:val="22"/>
          <w:szCs w:val="22"/>
          <w:lang w:val="en-US"/>
        </w:rPr>
        <w:tab/>
      </w:r>
      <w:r w:rsidR="001F2317" w:rsidRPr="00474548">
        <w:rPr>
          <w:sz w:val="22"/>
          <w:szCs w:val="22"/>
          <w:lang w:val="en-US"/>
        </w:rPr>
        <w:t>(3)</w:t>
      </w:r>
    </w:p>
    <w:p w14:paraId="63C322A6" w14:textId="77777777" w:rsidR="00EC3A3F" w:rsidRPr="00474548" w:rsidRDefault="00EC3A3F" w:rsidP="008E6F8E">
      <w:pPr>
        <w:jc w:val="both"/>
        <w:rPr>
          <w:sz w:val="22"/>
          <w:szCs w:val="22"/>
          <w:lang w:val="en-US"/>
        </w:rPr>
      </w:pPr>
    </w:p>
    <w:p w14:paraId="7A470134" w14:textId="0BFFB19B" w:rsidR="005B605A" w:rsidRPr="00474548" w:rsidRDefault="00326CF2" w:rsidP="008E6F8E">
      <w:pPr>
        <w:jc w:val="both"/>
        <w:rPr>
          <w:sz w:val="22"/>
          <w:szCs w:val="22"/>
          <w:lang w:val="en-US"/>
        </w:rPr>
      </w:pPr>
      <w:proofErr w:type="gramStart"/>
      <w:r w:rsidRPr="00474548">
        <w:rPr>
          <w:i/>
          <w:iCs/>
          <w:sz w:val="22"/>
          <w:szCs w:val="22"/>
          <w:lang w:val="en-US"/>
        </w:rPr>
        <w:t>w</w:t>
      </w:r>
      <w:r w:rsidR="00EC3A3F" w:rsidRPr="00474548">
        <w:rPr>
          <w:i/>
          <w:iCs/>
          <w:sz w:val="22"/>
          <w:szCs w:val="22"/>
          <w:lang w:val="en-US"/>
        </w:rPr>
        <w:t>here</w:t>
      </w:r>
      <w:proofErr w:type="gramEnd"/>
      <w:r w:rsidRPr="00474548">
        <w:rPr>
          <w:i/>
          <w:iCs/>
          <w:sz w:val="22"/>
          <w:szCs w:val="22"/>
          <w:lang w:val="en-US"/>
        </w:rPr>
        <w:t>,</w:t>
      </w:r>
      <w:r w:rsidR="00EC3A3F" w:rsidRPr="00474548">
        <w:rPr>
          <w:sz w:val="22"/>
          <w:szCs w:val="22"/>
          <w:lang w:val="en-US"/>
        </w:rPr>
        <w:t xml:space="preserve"> </w:t>
      </w:r>
      <w:proofErr w:type="spellStart"/>
      <w:r w:rsidR="00EC3A3F" w:rsidRPr="00474548">
        <w:rPr>
          <w:b/>
          <w:i/>
          <w:sz w:val="22"/>
          <w:szCs w:val="22"/>
          <w:lang w:val="en-US"/>
        </w:rPr>
        <w:t>R</w:t>
      </w:r>
      <w:r w:rsidR="00EC3A3F" w:rsidRPr="00474548">
        <w:rPr>
          <w:b/>
          <w:i/>
          <w:sz w:val="22"/>
          <w:szCs w:val="22"/>
          <w:vertAlign w:val="subscript"/>
          <w:lang w:val="en-US"/>
        </w:rPr>
        <w:t>i</w:t>
      </w:r>
      <w:proofErr w:type="spellEnd"/>
      <w:r w:rsidR="00DA0684" w:rsidRPr="00474548">
        <w:rPr>
          <w:sz w:val="22"/>
          <w:szCs w:val="22"/>
          <w:vertAlign w:val="subscript"/>
          <w:lang w:val="en-US"/>
        </w:rPr>
        <w:t xml:space="preserve"> </w:t>
      </w:r>
      <w:r w:rsidR="0035671A" w:rsidRPr="00474548">
        <w:rPr>
          <w:sz w:val="22"/>
          <w:szCs w:val="22"/>
          <w:vertAlign w:val="subscript"/>
          <w:lang w:val="en-US"/>
        </w:rPr>
        <w:t xml:space="preserve">= </w:t>
      </w:r>
      <w:r w:rsidR="007D59A5" w:rsidRPr="00474548">
        <w:rPr>
          <w:sz w:val="22"/>
          <w:szCs w:val="22"/>
          <w:lang w:val="en-US"/>
        </w:rPr>
        <w:t>I</w:t>
      </w:r>
      <w:r w:rsidR="00EC3A3F" w:rsidRPr="00474548">
        <w:rPr>
          <w:sz w:val="22"/>
          <w:szCs w:val="22"/>
          <w:lang w:val="en-US"/>
        </w:rPr>
        <w:t>nvestment rate</w:t>
      </w:r>
      <w:r w:rsidR="007D59A5" w:rsidRPr="00474548">
        <w:rPr>
          <w:sz w:val="22"/>
          <w:szCs w:val="22"/>
          <w:lang w:val="en-US"/>
        </w:rPr>
        <w:t xml:space="preserve"> of return</w:t>
      </w:r>
      <w:r w:rsidR="00EC3A3F" w:rsidRPr="00474548">
        <w:rPr>
          <w:sz w:val="22"/>
          <w:szCs w:val="22"/>
          <w:lang w:val="en-US"/>
        </w:rPr>
        <w:t xml:space="preserve">; </w:t>
      </w:r>
      <w:proofErr w:type="spellStart"/>
      <w:r w:rsidR="00EC3A3F" w:rsidRPr="00474548">
        <w:rPr>
          <w:b/>
          <w:i/>
          <w:sz w:val="22"/>
          <w:szCs w:val="22"/>
          <w:lang w:val="en-US"/>
        </w:rPr>
        <w:t>R</w:t>
      </w:r>
      <w:r w:rsidR="00EC3A3F" w:rsidRPr="00474548">
        <w:rPr>
          <w:b/>
          <w:i/>
          <w:sz w:val="22"/>
          <w:szCs w:val="22"/>
          <w:vertAlign w:val="subscript"/>
          <w:lang w:val="en-US"/>
        </w:rPr>
        <w:t>m</w:t>
      </w:r>
      <w:proofErr w:type="spellEnd"/>
      <w:r w:rsidR="00EC3A3F" w:rsidRPr="00474548">
        <w:rPr>
          <w:sz w:val="22"/>
          <w:szCs w:val="22"/>
          <w:lang w:val="en-US"/>
        </w:rPr>
        <w:t xml:space="preserve"> </w:t>
      </w:r>
      <w:r w:rsidR="0035671A" w:rsidRPr="00474548">
        <w:rPr>
          <w:sz w:val="22"/>
          <w:szCs w:val="22"/>
          <w:lang w:val="en-US"/>
        </w:rPr>
        <w:t xml:space="preserve">= </w:t>
      </w:r>
      <w:r w:rsidR="00EC3A3F" w:rsidRPr="00474548">
        <w:rPr>
          <w:sz w:val="22"/>
          <w:szCs w:val="22"/>
          <w:lang w:val="en-US"/>
        </w:rPr>
        <w:t>Market rate</w:t>
      </w:r>
      <w:r w:rsidR="007D59A5" w:rsidRPr="00474548">
        <w:rPr>
          <w:sz w:val="22"/>
          <w:szCs w:val="22"/>
          <w:lang w:val="en-US"/>
        </w:rPr>
        <w:t xml:space="preserve"> of return</w:t>
      </w:r>
      <w:r w:rsidR="00EC3A3F" w:rsidRPr="00474548">
        <w:rPr>
          <w:sz w:val="22"/>
          <w:szCs w:val="22"/>
          <w:lang w:val="en-US"/>
        </w:rPr>
        <w:t xml:space="preserve">; </w:t>
      </w:r>
      <w:proofErr w:type="spellStart"/>
      <w:r w:rsidR="00EC3A3F" w:rsidRPr="00474548">
        <w:rPr>
          <w:b/>
          <w:i/>
          <w:sz w:val="22"/>
          <w:szCs w:val="22"/>
          <w:lang w:val="en-US"/>
        </w:rPr>
        <w:t>a</w:t>
      </w:r>
      <w:r w:rsidR="00EC3A3F" w:rsidRPr="00474548">
        <w:rPr>
          <w:b/>
          <w:i/>
          <w:sz w:val="22"/>
          <w:szCs w:val="22"/>
          <w:vertAlign w:val="subscript"/>
          <w:lang w:val="en-US"/>
        </w:rPr>
        <w:t>i</w:t>
      </w:r>
      <w:proofErr w:type="spellEnd"/>
      <w:r w:rsidR="00EC3A3F" w:rsidRPr="00474548">
        <w:rPr>
          <w:sz w:val="22"/>
          <w:szCs w:val="22"/>
          <w:lang w:val="en-US"/>
        </w:rPr>
        <w:t xml:space="preserve"> </w:t>
      </w:r>
      <w:r w:rsidR="0035671A" w:rsidRPr="00474548">
        <w:rPr>
          <w:sz w:val="22"/>
          <w:szCs w:val="22"/>
          <w:lang w:val="en-US"/>
        </w:rPr>
        <w:t xml:space="preserve">= </w:t>
      </w:r>
      <w:r w:rsidR="00EC3A3F" w:rsidRPr="00474548">
        <w:rPr>
          <w:sz w:val="22"/>
          <w:szCs w:val="22"/>
          <w:lang w:val="en-US"/>
        </w:rPr>
        <w:t xml:space="preserve">Line intercept, corresponding to particular factors of each company; </w:t>
      </w:r>
      <w:proofErr w:type="spellStart"/>
      <w:r w:rsidR="00EC3A3F" w:rsidRPr="00474548">
        <w:rPr>
          <w:b/>
          <w:i/>
          <w:sz w:val="22"/>
          <w:szCs w:val="22"/>
          <w:lang w:val="en-US"/>
        </w:rPr>
        <w:t>e</w:t>
      </w:r>
      <w:r w:rsidR="00EC3A3F" w:rsidRPr="00474548">
        <w:rPr>
          <w:b/>
          <w:i/>
          <w:sz w:val="22"/>
          <w:szCs w:val="22"/>
          <w:vertAlign w:val="subscript"/>
          <w:lang w:val="en-US"/>
        </w:rPr>
        <w:t>i</w:t>
      </w:r>
      <w:proofErr w:type="spellEnd"/>
      <w:r w:rsidR="004043F0" w:rsidRPr="00474548">
        <w:rPr>
          <w:i/>
          <w:sz w:val="22"/>
          <w:szCs w:val="22"/>
          <w:vertAlign w:val="subscript"/>
          <w:lang w:val="en-US"/>
        </w:rPr>
        <w:t xml:space="preserve"> </w:t>
      </w:r>
      <w:r w:rsidR="004043F0" w:rsidRPr="00474548">
        <w:rPr>
          <w:sz w:val="22"/>
          <w:szCs w:val="22"/>
          <w:vertAlign w:val="subscript"/>
          <w:lang w:val="en-US"/>
        </w:rPr>
        <w:t xml:space="preserve">= </w:t>
      </w:r>
      <w:r w:rsidR="004043F0" w:rsidRPr="00474548">
        <w:rPr>
          <w:sz w:val="22"/>
          <w:szCs w:val="22"/>
          <w:lang w:val="en-US"/>
        </w:rPr>
        <w:t>Error term c</w:t>
      </w:r>
      <w:r w:rsidR="00EC3A3F" w:rsidRPr="00474548">
        <w:rPr>
          <w:sz w:val="22"/>
          <w:szCs w:val="22"/>
          <w:lang w:val="en-US"/>
        </w:rPr>
        <w:t>orrespond</w:t>
      </w:r>
      <w:r w:rsidR="004043F0" w:rsidRPr="00474548">
        <w:rPr>
          <w:sz w:val="22"/>
          <w:szCs w:val="22"/>
          <w:lang w:val="en-US"/>
        </w:rPr>
        <w:t>ing</w:t>
      </w:r>
      <w:r w:rsidR="00EC3A3F" w:rsidRPr="00474548">
        <w:rPr>
          <w:sz w:val="22"/>
          <w:szCs w:val="22"/>
          <w:lang w:val="en-US"/>
        </w:rPr>
        <w:t xml:space="preserve"> to an expected return equal to </w:t>
      </w:r>
      <w:r w:rsidR="00EC3A3F" w:rsidRPr="00474548">
        <w:rPr>
          <w:i/>
          <w:sz w:val="22"/>
          <w:szCs w:val="22"/>
          <w:lang w:val="en-US"/>
        </w:rPr>
        <w:t>zero.</w:t>
      </w:r>
    </w:p>
    <w:p w14:paraId="11061E35" w14:textId="77777777" w:rsidR="005B605A" w:rsidRPr="00474548" w:rsidRDefault="005B605A" w:rsidP="008E6F8E">
      <w:pPr>
        <w:ind w:firstLine="709"/>
        <w:jc w:val="both"/>
        <w:rPr>
          <w:sz w:val="22"/>
          <w:szCs w:val="22"/>
          <w:lang w:val="en-US"/>
        </w:rPr>
      </w:pPr>
    </w:p>
    <w:p w14:paraId="32C1838A" w14:textId="77777777" w:rsidR="005B605A" w:rsidRPr="00474548" w:rsidRDefault="005B605A" w:rsidP="008E6F8E">
      <w:pPr>
        <w:pStyle w:val="Subtitle"/>
        <w:rPr>
          <w:rFonts w:ascii="Times New Roman" w:hAnsi="Times New Roman"/>
          <w:b/>
          <w:sz w:val="22"/>
          <w:szCs w:val="22"/>
          <w:lang w:val="en-US"/>
        </w:rPr>
      </w:pPr>
      <w:bookmarkStart w:id="12" w:name="_Toc389514250"/>
      <w:bookmarkStart w:id="13" w:name="_Toc391473690"/>
      <w:r w:rsidRPr="00474548">
        <w:rPr>
          <w:rFonts w:ascii="Times New Roman" w:hAnsi="Times New Roman"/>
          <w:b/>
          <w:sz w:val="22"/>
          <w:szCs w:val="22"/>
          <w:lang w:val="en-US"/>
        </w:rPr>
        <w:t xml:space="preserve">2.2 Regulation </w:t>
      </w:r>
      <w:bookmarkEnd w:id="12"/>
      <w:bookmarkEnd w:id="13"/>
      <w:r w:rsidRPr="00474548">
        <w:rPr>
          <w:rFonts w:ascii="Times New Roman" w:hAnsi="Times New Roman"/>
          <w:b/>
          <w:sz w:val="22"/>
          <w:szCs w:val="22"/>
          <w:lang w:val="en-US"/>
        </w:rPr>
        <w:t>and Regulatory Risk</w:t>
      </w:r>
    </w:p>
    <w:p w14:paraId="660EF975" w14:textId="6AB45160" w:rsidR="002B3256" w:rsidRPr="00474548" w:rsidRDefault="008F3C33" w:rsidP="008E6F8E">
      <w:pPr>
        <w:pStyle w:val="NormalWeb"/>
        <w:spacing w:before="0" w:beforeAutospacing="0" w:after="0" w:afterAutospacing="0"/>
        <w:ind w:firstLine="709"/>
        <w:jc w:val="both"/>
        <w:rPr>
          <w:sz w:val="22"/>
          <w:szCs w:val="22"/>
          <w:lang w:val="en-US"/>
        </w:rPr>
      </w:pPr>
      <w:r w:rsidRPr="00474548">
        <w:rPr>
          <w:sz w:val="22"/>
          <w:szCs w:val="22"/>
          <w:lang w:val="en-US"/>
        </w:rPr>
        <w:t xml:space="preserve">Stimulating </w:t>
      </w:r>
      <w:r w:rsidR="002B3256" w:rsidRPr="00474548">
        <w:rPr>
          <w:sz w:val="22"/>
          <w:szCs w:val="22"/>
          <w:lang w:val="en-US"/>
        </w:rPr>
        <w:t>or inhibit</w:t>
      </w:r>
      <w:r w:rsidRPr="00474548">
        <w:rPr>
          <w:sz w:val="22"/>
          <w:szCs w:val="22"/>
          <w:lang w:val="en-US"/>
        </w:rPr>
        <w:t>ing</w:t>
      </w:r>
      <w:r w:rsidR="002B3256" w:rsidRPr="00474548">
        <w:rPr>
          <w:sz w:val="22"/>
          <w:szCs w:val="22"/>
          <w:lang w:val="en-US"/>
        </w:rPr>
        <w:t xml:space="preserve"> investments from private companies in the public sector (</w:t>
      </w:r>
      <w:proofErr w:type="spellStart"/>
      <w:r w:rsidR="002B3256" w:rsidRPr="00474548">
        <w:rPr>
          <w:sz w:val="22"/>
          <w:szCs w:val="22"/>
          <w:lang w:val="en-US"/>
        </w:rPr>
        <w:t>Giuliano</w:t>
      </w:r>
      <w:proofErr w:type="spellEnd"/>
      <w:r w:rsidR="002B3256" w:rsidRPr="00474548">
        <w:rPr>
          <w:sz w:val="22"/>
          <w:szCs w:val="22"/>
          <w:lang w:val="en-US"/>
        </w:rPr>
        <w:t xml:space="preserve"> and Linder, 2013) </w:t>
      </w:r>
      <w:r w:rsidRPr="00474548">
        <w:rPr>
          <w:sz w:val="22"/>
          <w:szCs w:val="22"/>
          <w:lang w:val="en-US"/>
        </w:rPr>
        <w:t xml:space="preserve">are dependent on a government’s political actions, as reflected in </w:t>
      </w:r>
      <w:r w:rsidR="002B3256" w:rsidRPr="00474548">
        <w:rPr>
          <w:sz w:val="22"/>
          <w:szCs w:val="22"/>
          <w:lang w:val="en-US"/>
        </w:rPr>
        <w:t>its strategies</w:t>
      </w:r>
      <w:r w:rsidR="004043F0" w:rsidRPr="00474548">
        <w:rPr>
          <w:sz w:val="22"/>
          <w:szCs w:val="22"/>
          <w:lang w:val="en-US"/>
        </w:rPr>
        <w:t xml:space="preserve"> that</w:t>
      </w:r>
      <w:r w:rsidR="002B3256" w:rsidRPr="00474548">
        <w:rPr>
          <w:sz w:val="22"/>
          <w:szCs w:val="22"/>
          <w:lang w:val="en-US"/>
        </w:rPr>
        <w:t xml:space="preserve"> can range from intrusive and dominating to a low or non-existent level of control. Government intervention in the electricity sector should set a balance between expenses on public utilit</w:t>
      </w:r>
      <w:r w:rsidRPr="00474548">
        <w:rPr>
          <w:sz w:val="22"/>
          <w:szCs w:val="22"/>
          <w:lang w:val="en-US"/>
        </w:rPr>
        <w:t>ies</w:t>
      </w:r>
      <w:r w:rsidR="002B3256" w:rsidRPr="00474548">
        <w:rPr>
          <w:sz w:val="22"/>
          <w:szCs w:val="22"/>
          <w:lang w:val="en-US"/>
        </w:rPr>
        <w:t xml:space="preserve"> (Brewer and Mann, 1989) and the industrial policy objectives of the investors (Veiga et al., 2012).</w:t>
      </w:r>
    </w:p>
    <w:p w14:paraId="6153D331" w14:textId="2F526767" w:rsidR="005B605A" w:rsidRPr="00474548" w:rsidRDefault="002B3256" w:rsidP="008E6F8E">
      <w:pPr>
        <w:ind w:firstLine="709"/>
        <w:jc w:val="both"/>
        <w:rPr>
          <w:rFonts w:eastAsia="Times New Roman"/>
          <w:kern w:val="0"/>
          <w:sz w:val="22"/>
          <w:szCs w:val="22"/>
          <w:lang w:val="en-US"/>
        </w:rPr>
      </w:pPr>
      <w:r w:rsidRPr="00474548">
        <w:rPr>
          <w:color w:val="000000"/>
          <w:sz w:val="22"/>
          <w:szCs w:val="22"/>
          <w:shd w:val="clear" w:color="auto" w:fill="FFFFFF"/>
          <w:lang w:val="en-US"/>
        </w:rPr>
        <w:t xml:space="preserve"> The regulation comprises </w:t>
      </w:r>
      <w:r w:rsidR="007D59A5" w:rsidRPr="00474548">
        <w:rPr>
          <w:color w:val="000000"/>
          <w:sz w:val="22"/>
          <w:szCs w:val="22"/>
          <w:shd w:val="clear" w:color="auto" w:fill="FFFFFF"/>
          <w:lang w:val="en-US"/>
        </w:rPr>
        <w:t>“</w:t>
      </w:r>
      <w:r w:rsidRPr="00474548">
        <w:rPr>
          <w:color w:val="000000"/>
          <w:sz w:val="22"/>
          <w:szCs w:val="22"/>
          <w:shd w:val="clear" w:color="auto" w:fill="FFFFFF"/>
          <w:lang w:val="en-US"/>
        </w:rPr>
        <w:t>[...] the set of mechanisms which ensure the development of a particular system, by means of a complex reproduction process and change</w:t>
      </w:r>
      <w:r w:rsidR="007D59A5" w:rsidRPr="00474548">
        <w:rPr>
          <w:color w:val="000000"/>
          <w:sz w:val="22"/>
          <w:szCs w:val="22"/>
          <w:shd w:val="clear" w:color="auto" w:fill="FFFFFF"/>
          <w:lang w:val="en-US"/>
        </w:rPr>
        <w:t>”</w:t>
      </w:r>
      <w:r w:rsidRPr="00474548">
        <w:rPr>
          <w:color w:val="000000"/>
          <w:sz w:val="22"/>
          <w:szCs w:val="22"/>
          <w:shd w:val="clear" w:color="auto" w:fill="FFFFFF"/>
          <w:lang w:val="en-US"/>
        </w:rPr>
        <w:t xml:space="preserve"> (</w:t>
      </w:r>
      <w:proofErr w:type="spellStart"/>
      <w:r w:rsidRPr="00474548">
        <w:rPr>
          <w:color w:val="000000"/>
          <w:sz w:val="22"/>
          <w:szCs w:val="22"/>
          <w:shd w:val="clear" w:color="auto" w:fill="FFFFFF"/>
          <w:lang w:val="en-US"/>
        </w:rPr>
        <w:t>Diebolt</w:t>
      </w:r>
      <w:proofErr w:type="spellEnd"/>
      <w:r w:rsidRPr="00474548">
        <w:rPr>
          <w:color w:val="000000"/>
          <w:sz w:val="22"/>
          <w:szCs w:val="22"/>
          <w:shd w:val="clear" w:color="auto" w:fill="FFFFFF"/>
          <w:lang w:val="en-US"/>
        </w:rPr>
        <w:t xml:space="preserve">, 2001, p. 10). The focus of regulation </w:t>
      </w:r>
      <w:r w:rsidRPr="00474548">
        <w:rPr>
          <w:sz w:val="22"/>
          <w:szCs w:val="22"/>
          <w:lang w:val="en-US"/>
        </w:rPr>
        <w:t xml:space="preserve">is sustainability and </w:t>
      </w:r>
      <w:r w:rsidR="008F3C33" w:rsidRPr="00474548">
        <w:rPr>
          <w:sz w:val="22"/>
          <w:szCs w:val="22"/>
          <w:lang w:val="en-US"/>
        </w:rPr>
        <w:t xml:space="preserve">the </w:t>
      </w:r>
      <w:r w:rsidRPr="00474548">
        <w:rPr>
          <w:sz w:val="22"/>
          <w:szCs w:val="22"/>
          <w:lang w:val="en-US"/>
        </w:rPr>
        <w:t>control exercised by a public agency on certain activities (Selznick, 1985</w:t>
      </w:r>
      <w:r w:rsidR="0035671A" w:rsidRPr="00474548">
        <w:rPr>
          <w:sz w:val="22"/>
          <w:szCs w:val="22"/>
          <w:lang w:val="en-US"/>
        </w:rPr>
        <w:t xml:space="preserve">); this is </w:t>
      </w:r>
      <w:r w:rsidR="008F3C33" w:rsidRPr="00474548">
        <w:rPr>
          <w:sz w:val="22"/>
          <w:szCs w:val="22"/>
          <w:lang w:val="en-US"/>
        </w:rPr>
        <w:t xml:space="preserve">often </w:t>
      </w:r>
      <w:r w:rsidRPr="00474548">
        <w:rPr>
          <w:sz w:val="22"/>
          <w:szCs w:val="22"/>
          <w:lang w:val="en-US"/>
        </w:rPr>
        <w:t>seen as a</w:t>
      </w:r>
      <w:r w:rsidR="0035671A" w:rsidRPr="00474548">
        <w:rPr>
          <w:sz w:val="22"/>
          <w:szCs w:val="22"/>
          <w:lang w:val="en-US"/>
        </w:rPr>
        <w:t>n</w:t>
      </w:r>
      <w:r w:rsidRPr="00474548">
        <w:rPr>
          <w:sz w:val="22"/>
          <w:szCs w:val="22"/>
          <w:lang w:val="en-US"/>
        </w:rPr>
        <w:t xml:space="preserve"> activity </w:t>
      </w:r>
      <w:r w:rsidR="008F3C33" w:rsidRPr="00474548">
        <w:rPr>
          <w:sz w:val="22"/>
          <w:szCs w:val="22"/>
          <w:lang w:val="en-US"/>
        </w:rPr>
        <w:t>seeking controlled behavior</w:t>
      </w:r>
      <w:r w:rsidR="0035671A" w:rsidRPr="00474548">
        <w:rPr>
          <w:sz w:val="22"/>
          <w:szCs w:val="22"/>
          <w:lang w:val="en-US"/>
        </w:rPr>
        <w:t>,</w:t>
      </w:r>
      <w:r w:rsidRPr="00474548">
        <w:rPr>
          <w:sz w:val="22"/>
          <w:szCs w:val="22"/>
          <w:lang w:val="en-US"/>
        </w:rPr>
        <w:t xml:space="preserve"> prevent</w:t>
      </w:r>
      <w:r w:rsidR="004430CF" w:rsidRPr="00474548">
        <w:rPr>
          <w:sz w:val="22"/>
          <w:szCs w:val="22"/>
          <w:lang w:val="en-US"/>
        </w:rPr>
        <w:t>ing</w:t>
      </w:r>
      <w:r w:rsidRPr="00474548">
        <w:rPr>
          <w:sz w:val="22"/>
          <w:szCs w:val="22"/>
          <w:lang w:val="en-US"/>
        </w:rPr>
        <w:t xml:space="preserve"> the occurrence of certain undesirable activities (Baldwin, </w:t>
      </w:r>
      <w:proofErr w:type="spellStart"/>
      <w:r w:rsidRPr="00474548">
        <w:rPr>
          <w:sz w:val="22"/>
          <w:szCs w:val="22"/>
          <w:lang w:val="en-US"/>
        </w:rPr>
        <w:t>Caverna</w:t>
      </w:r>
      <w:proofErr w:type="spellEnd"/>
      <w:r w:rsidR="008F3C33" w:rsidRPr="00474548">
        <w:rPr>
          <w:sz w:val="22"/>
          <w:szCs w:val="22"/>
          <w:lang w:val="en-US"/>
        </w:rPr>
        <w:t>,</w:t>
      </w:r>
      <w:r w:rsidRPr="00474548">
        <w:rPr>
          <w:sz w:val="22"/>
          <w:szCs w:val="22"/>
          <w:lang w:val="en-US"/>
        </w:rPr>
        <w:t xml:space="preserve"> and Lodge, 2012). </w:t>
      </w:r>
    </w:p>
    <w:p w14:paraId="2FB70AF2" w14:textId="2E68B562" w:rsidR="005B605A" w:rsidRPr="00474548" w:rsidRDefault="005B605A" w:rsidP="008E6F8E">
      <w:pPr>
        <w:ind w:firstLine="709"/>
        <w:jc w:val="both"/>
        <w:rPr>
          <w:rFonts w:eastAsia="Times New Roman"/>
          <w:kern w:val="0"/>
          <w:sz w:val="22"/>
          <w:szCs w:val="22"/>
          <w:lang w:val="en-US"/>
        </w:rPr>
      </w:pPr>
      <w:r w:rsidRPr="00474548">
        <w:rPr>
          <w:sz w:val="22"/>
          <w:szCs w:val="22"/>
          <w:lang w:val="en-US"/>
        </w:rPr>
        <w:t xml:space="preserve">In Brazil, the Federal Constitution promulgated on October 5, 1988 acts as </w:t>
      </w:r>
      <w:r w:rsidR="008F3C33" w:rsidRPr="00474548">
        <w:rPr>
          <w:sz w:val="22"/>
          <w:szCs w:val="22"/>
          <w:lang w:val="en-US"/>
        </w:rPr>
        <w:t>the supreme law</w:t>
      </w:r>
      <w:r w:rsidRPr="00474548">
        <w:rPr>
          <w:sz w:val="22"/>
          <w:szCs w:val="22"/>
          <w:lang w:val="en-US"/>
        </w:rPr>
        <w:t xml:space="preserve"> for other kinds of </w:t>
      </w:r>
      <w:r w:rsidR="0035671A" w:rsidRPr="00474548">
        <w:rPr>
          <w:sz w:val="22"/>
          <w:szCs w:val="22"/>
          <w:lang w:val="en-US"/>
        </w:rPr>
        <w:t>regulations</w:t>
      </w:r>
      <w:r w:rsidRPr="00474548">
        <w:rPr>
          <w:sz w:val="22"/>
          <w:szCs w:val="22"/>
          <w:lang w:val="en-US"/>
        </w:rPr>
        <w:t>. The "Federal Constitution contains all the elements and criteria that allow identifying the activities that embody the public service" (</w:t>
      </w:r>
      <w:proofErr w:type="spellStart"/>
      <w:r w:rsidRPr="00474548">
        <w:rPr>
          <w:sz w:val="22"/>
          <w:szCs w:val="22"/>
          <w:lang w:val="en-US"/>
        </w:rPr>
        <w:t>Grau</w:t>
      </w:r>
      <w:proofErr w:type="spellEnd"/>
      <w:r w:rsidRPr="00474548">
        <w:rPr>
          <w:sz w:val="22"/>
          <w:szCs w:val="22"/>
          <w:lang w:val="en-US"/>
        </w:rPr>
        <w:t xml:space="preserve">, 2001). </w:t>
      </w:r>
      <w:proofErr w:type="spellStart"/>
      <w:r w:rsidRPr="00474548">
        <w:rPr>
          <w:sz w:val="22"/>
          <w:szCs w:val="22"/>
          <w:lang w:val="en-US"/>
        </w:rPr>
        <w:t>Siffert</w:t>
      </w:r>
      <w:proofErr w:type="spellEnd"/>
      <w:r w:rsidRPr="00474548">
        <w:rPr>
          <w:sz w:val="22"/>
          <w:szCs w:val="22"/>
          <w:lang w:val="en-US"/>
        </w:rPr>
        <w:t xml:space="preserve"> </w:t>
      </w:r>
      <w:proofErr w:type="spellStart"/>
      <w:r w:rsidRPr="00474548">
        <w:rPr>
          <w:sz w:val="22"/>
          <w:szCs w:val="22"/>
          <w:lang w:val="en-US"/>
        </w:rPr>
        <w:t>Filh</w:t>
      </w:r>
      <w:r w:rsidR="008B17DD" w:rsidRPr="00474548">
        <w:rPr>
          <w:sz w:val="22"/>
          <w:szCs w:val="22"/>
          <w:lang w:val="en-US"/>
        </w:rPr>
        <w:t>o</w:t>
      </w:r>
      <w:proofErr w:type="spellEnd"/>
      <w:r w:rsidR="008B17DD" w:rsidRPr="00474548">
        <w:rPr>
          <w:sz w:val="22"/>
          <w:szCs w:val="22"/>
          <w:lang w:val="en-US"/>
        </w:rPr>
        <w:t xml:space="preserve"> et al.</w:t>
      </w:r>
      <w:r w:rsidR="00967FCE" w:rsidRPr="00474548">
        <w:rPr>
          <w:sz w:val="22"/>
          <w:szCs w:val="22"/>
          <w:lang w:val="en-US"/>
        </w:rPr>
        <w:t>,</w:t>
      </w:r>
      <w:r w:rsidR="008B17DD" w:rsidRPr="00474548">
        <w:rPr>
          <w:sz w:val="22"/>
          <w:szCs w:val="22"/>
          <w:lang w:val="en-US"/>
        </w:rPr>
        <w:t xml:space="preserve"> (2009) and </w:t>
      </w:r>
      <w:proofErr w:type="spellStart"/>
      <w:r w:rsidR="008B17DD" w:rsidRPr="00474548">
        <w:rPr>
          <w:sz w:val="22"/>
          <w:szCs w:val="22"/>
          <w:lang w:val="en-US"/>
        </w:rPr>
        <w:t>Coskun</w:t>
      </w:r>
      <w:proofErr w:type="spellEnd"/>
      <w:r w:rsidR="008B17DD" w:rsidRPr="00474548">
        <w:rPr>
          <w:sz w:val="22"/>
          <w:szCs w:val="22"/>
          <w:lang w:val="en-US"/>
        </w:rPr>
        <w:t xml:space="preserve"> and</w:t>
      </w:r>
      <w:r w:rsidRPr="00474548">
        <w:rPr>
          <w:sz w:val="22"/>
          <w:szCs w:val="22"/>
          <w:lang w:val="en-US"/>
        </w:rPr>
        <w:t xml:space="preserve"> </w:t>
      </w:r>
      <w:proofErr w:type="spellStart"/>
      <w:r w:rsidRPr="00474548">
        <w:rPr>
          <w:sz w:val="22"/>
          <w:szCs w:val="22"/>
          <w:lang w:val="en-US"/>
        </w:rPr>
        <w:t>Huseyin</w:t>
      </w:r>
      <w:proofErr w:type="spellEnd"/>
      <w:r w:rsidRPr="00474548">
        <w:rPr>
          <w:sz w:val="22"/>
          <w:szCs w:val="22"/>
          <w:lang w:val="en-US"/>
        </w:rPr>
        <w:t xml:space="preserve"> (2014) point out that the electricity market, because </w:t>
      </w:r>
      <w:r w:rsidR="003F69D9" w:rsidRPr="00474548">
        <w:rPr>
          <w:sz w:val="22"/>
          <w:szCs w:val="22"/>
          <w:lang w:val="en-US"/>
        </w:rPr>
        <w:t>of being a</w:t>
      </w:r>
      <w:r w:rsidRPr="00474548">
        <w:rPr>
          <w:sz w:val="22"/>
          <w:szCs w:val="22"/>
          <w:lang w:val="en-US"/>
        </w:rPr>
        <w:t xml:space="preserve"> public utility service (Brewer and Mann, 1989) with natural monopoly characteristics, is </w:t>
      </w:r>
      <w:r w:rsidR="0035671A" w:rsidRPr="00474548">
        <w:rPr>
          <w:sz w:val="22"/>
          <w:szCs w:val="22"/>
          <w:lang w:val="en-US"/>
        </w:rPr>
        <w:t>subject to</w:t>
      </w:r>
      <w:r w:rsidRPr="00474548">
        <w:rPr>
          <w:sz w:val="22"/>
          <w:szCs w:val="22"/>
          <w:lang w:val="en-US"/>
        </w:rPr>
        <w:t xml:space="preserve"> regulation. In this context, the issues surrounding the concept of natural monopoly challenge public policies. If, on one hand, natural monopoly implies </w:t>
      </w:r>
      <w:r w:rsidR="0035671A" w:rsidRPr="00474548">
        <w:rPr>
          <w:sz w:val="22"/>
          <w:szCs w:val="22"/>
          <w:lang w:val="en-US"/>
        </w:rPr>
        <w:t xml:space="preserve">best production </w:t>
      </w:r>
      <w:r w:rsidRPr="00474548">
        <w:rPr>
          <w:sz w:val="22"/>
          <w:szCs w:val="22"/>
          <w:lang w:val="en-US"/>
        </w:rPr>
        <w:t xml:space="preserve">efficiency when a single company supplies </w:t>
      </w:r>
      <w:r w:rsidR="003F69D9" w:rsidRPr="00474548">
        <w:rPr>
          <w:sz w:val="22"/>
          <w:szCs w:val="22"/>
          <w:lang w:val="en-US"/>
        </w:rPr>
        <w:t xml:space="preserve">to </w:t>
      </w:r>
      <w:r w:rsidRPr="00474548">
        <w:rPr>
          <w:sz w:val="22"/>
          <w:szCs w:val="22"/>
          <w:lang w:val="en-US"/>
        </w:rPr>
        <w:t xml:space="preserve">the whole market, on the other hand, in the absence of any competition, the holder may be tempted to exploit </w:t>
      </w:r>
      <w:r w:rsidR="0035671A" w:rsidRPr="00474548">
        <w:rPr>
          <w:sz w:val="22"/>
          <w:szCs w:val="22"/>
          <w:lang w:val="en-US"/>
        </w:rPr>
        <w:t xml:space="preserve">the </w:t>
      </w:r>
      <w:r w:rsidRPr="00474548">
        <w:rPr>
          <w:sz w:val="22"/>
          <w:szCs w:val="22"/>
          <w:lang w:val="en-US"/>
        </w:rPr>
        <w:t>natural monopoly power, in order to maximize profits (</w:t>
      </w:r>
      <w:proofErr w:type="spellStart"/>
      <w:r w:rsidRPr="00474548">
        <w:rPr>
          <w:sz w:val="22"/>
          <w:szCs w:val="22"/>
          <w:lang w:val="en-US"/>
        </w:rPr>
        <w:t>Depoorter</w:t>
      </w:r>
      <w:proofErr w:type="spellEnd"/>
      <w:r w:rsidRPr="00474548">
        <w:rPr>
          <w:sz w:val="22"/>
          <w:szCs w:val="22"/>
          <w:lang w:val="en-US"/>
        </w:rPr>
        <w:t xml:space="preserve">, 1999). </w:t>
      </w:r>
      <w:r w:rsidR="0035671A" w:rsidRPr="00474548">
        <w:rPr>
          <w:sz w:val="22"/>
          <w:szCs w:val="22"/>
          <w:lang w:val="en-US"/>
        </w:rPr>
        <w:t>Regarding</w:t>
      </w:r>
      <w:r w:rsidRPr="00474548">
        <w:rPr>
          <w:sz w:val="22"/>
          <w:szCs w:val="22"/>
          <w:lang w:val="en-US"/>
        </w:rPr>
        <w:t xml:space="preserve"> the need for economic regulation and </w:t>
      </w:r>
      <w:r w:rsidR="0035671A" w:rsidRPr="00474548">
        <w:rPr>
          <w:sz w:val="22"/>
          <w:szCs w:val="22"/>
          <w:lang w:val="en-US"/>
        </w:rPr>
        <w:t xml:space="preserve">market </w:t>
      </w:r>
      <w:r w:rsidRPr="00474548">
        <w:rPr>
          <w:sz w:val="22"/>
          <w:szCs w:val="22"/>
          <w:lang w:val="en-US"/>
        </w:rPr>
        <w:t>predictability</w:t>
      </w:r>
      <w:r w:rsidR="0035671A" w:rsidRPr="00474548">
        <w:rPr>
          <w:sz w:val="22"/>
          <w:szCs w:val="22"/>
          <w:lang w:val="en-US"/>
        </w:rPr>
        <w:t>,</w:t>
      </w:r>
      <w:r w:rsidRPr="00474548">
        <w:rPr>
          <w:sz w:val="22"/>
          <w:szCs w:val="22"/>
          <w:lang w:val="en-US"/>
        </w:rPr>
        <w:t xml:space="preserve"> which fall within the regulatory risk, </w:t>
      </w:r>
      <w:r w:rsidR="0035671A" w:rsidRPr="00474548">
        <w:rPr>
          <w:sz w:val="22"/>
          <w:szCs w:val="22"/>
          <w:lang w:val="en-US"/>
        </w:rPr>
        <w:t xml:space="preserve">this is </w:t>
      </w:r>
      <w:r w:rsidRPr="00474548">
        <w:rPr>
          <w:sz w:val="22"/>
          <w:szCs w:val="22"/>
          <w:lang w:val="en-US"/>
        </w:rPr>
        <w:t>understood as "any government action to limit the freedom of choice of the economic agents" (</w:t>
      </w:r>
      <w:proofErr w:type="spellStart"/>
      <w:r w:rsidRPr="00474548">
        <w:rPr>
          <w:sz w:val="22"/>
          <w:szCs w:val="22"/>
          <w:lang w:val="en-US"/>
        </w:rPr>
        <w:t>Fiani</w:t>
      </w:r>
      <w:proofErr w:type="spellEnd"/>
      <w:r w:rsidRPr="00474548">
        <w:rPr>
          <w:sz w:val="22"/>
          <w:szCs w:val="22"/>
          <w:lang w:val="en-US"/>
        </w:rPr>
        <w:t xml:space="preserve">, 1998). </w:t>
      </w:r>
    </w:p>
    <w:p w14:paraId="50D075AE" w14:textId="45909F8A" w:rsidR="005B605A" w:rsidRPr="00474548" w:rsidRDefault="005A3006" w:rsidP="00967FCE">
      <w:pPr>
        <w:pStyle w:val="Subtitle"/>
        <w:jc w:val="both"/>
        <w:rPr>
          <w:rFonts w:ascii="Times New Roman" w:hAnsi="Times New Roman"/>
          <w:b/>
          <w:sz w:val="22"/>
          <w:szCs w:val="22"/>
          <w:lang w:val="en-US"/>
        </w:rPr>
      </w:pPr>
      <w:r w:rsidRPr="00474548">
        <w:rPr>
          <w:rFonts w:ascii="Times New Roman" w:hAnsi="Times New Roman"/>
          <w:sz w:val="22"/>
          <w:szCs w:val="22"/>
          <w:lang w:val="en-US"/>
        </w:rPr>
        <w:t xml:space="preserve"> </w:t>
      </w:r>
      <w:r w:rsidRPr="00474548">
        <w:rPr>
          <w:rFonts w:ascii="Times New Roman" w:hAnsi="Times New Roman"/>
          <w:sz w:val="22"/>
          <w:szCs w:val="22"/>
          <w:lang w:val="en-US"/>
        </w:rPr>
        <w:tab/>
        <w:t xml:space="preserve">The Regulatory Risk (RR) </w:t>
      </w:r>
      <w:r w:rsidR="00A87CDB" w:rsidRPr="00474548">
        <w:rPr>
          <w:rFonts w:ascii="Times New Roman" w:hAnsi="Times New Roman"/>
          <w:sz w:val="22"/>
          <w:szCs w:val="22"/>
          <w:lang w:val="en-US"/>
        </w:rPr>
        <w:t>is evident in the global economy scenario (</w:t>
      </w:r>
      <w:proofErr w:type="spellStart"/>
      <w:r w:rsidR="00A87CDB" w:rsidRPr="00474548">
        <w:rPr>
          <w:rFonts w:ascii="Times New Roman" w:hAnsi="Times New Roman"/>
          <w:sz w:val="22"/>
          <w:szCs w:val="22"/>
          <w:lang w:val="en-US"/>
        </w:rPr>
        <w:t>Acharya</w:t>
      </w:r>
      <w:proofErr w:type="spellEnd"/>
      <w:r w:rsidR="00A87CDB" w:rsidRPr="00474548">
        <w:rPr>
          <w:rFonts w:ascii="Times New Roman" w:hAnsi="Times New Roman"/>
          <w:sz w:val="22"/>
          <w:szCs w:val="22"/>
          <w:lang w:val="en-US"/>
        </w:rPr>
        <w:t xml:space="preserve">, Engle, and Diane </w:t>
      </w:r>
      <w:proofErr w:type="spellStart"/>
      <w:r w:rsidR="00A87CDB" w:rsidRPr="00474548">
        <w:rPr>
          <w:rFonts w:ascii="Times New Roman" w:hAnsi="Times New Roman"/>
          <w:sz w:val="22"/>
          <w:szCs w:val="22"/>
          <w:lang w:val="en-US"/>
        </w:rPr>
        <w:t>Pierret</w:t>
      </w:r>
      <w:proofErr w:type="spellEnd"/>
      <w:r w:rsidR="00A87CDB" w:rsidRPr="00474548">
        <w:rPr>
          <w:rFonts w:ascii="Times New Roman" w:hAnsi="Times New Roman"/>
          <w:sz w:val="22"/>
          <w:szCs w:val="22"/>
          <w:lang w:val="en-US"/>
        </w:rPr>
        <w:t>, 2014)</w:t>
      </w:r>
      <w:r w:rsidR="00BB27E6" w:rsidRPr="00474548">
        <w:rPr>
          <w:rFonts w:ascii="Times New Roman" w:hAnsi="Times New Roman"/>
          <w:sz w:val="22"/>
          <w:szCs w:val="22"/>
          <w:lang w:val="en-US"/>
        </w:rPr>
        <w:t>,</w:t>
      </w:r>
      <w:r w:rsidR="00A87CDB" w:rsidRPr="00474548">
        <w:rPr>
          <w:rFonts w:ascii="Times New Roman" w:hAnsi="Times New Roman"/>
          <w:sz w:val="22"/>
          <w:szCs w:val="22"/>
          <w:lang w:val="en-US"/>
        </w:rPr>
        <w:t xml:space="preserve"> and although there is no widely accepted definition, its analysis becomes increasingly relevant in </w:t>
      </w:r>
      <w:r w:rsidR="00F8676B" w:rsidRPr="00474548">
        <w:rPr>
          <w:rFonts w:ascii="Times New Roman" w:hAnsi="Times New Roman"/>
          <w:sz w:val="22"/>
          <w:szCs w:val="22"/>
          <w:lang w:val="en-US"/>
        </w:rPr>
        <w:t xml:space="preserve">the </w:t>
      </w:r>
      <w:r w:rsidR="00A87CDB" w:rsidRPr="00474548">
        <w:rPr>
          <w:rFonts w:ascii="Times New Roman" w:hAnsi="Times New Roman"/>
          <w:sz w:val="22"/>
          <w:szCs w:val="22"/>
          <w:lang w:val="en-US"/>
        </w:rPr>
        <w:t>discussions on regulat</w:t>
      </w:r>
      <w:r w:rsidR="00F8676B" w:rsidRPr="00474548">
        <w:rPr>
          <w:rFonts w:ascii="Times New Roman" w:hAnsi="Times New Roman"/>
          <w:sz w:val="22"/>
          <w:szCs w:val="22"/>
          <w:lang w:val="en-US"/>
        </w:rPr>
        <w:t>ory</w:t>
      </w:r>
      <w:r w:rsidR="00A87CDB" w:rsidRPr="00474548">
        <w:rPr>
          <w:rFonts w:ascii="Times New Roman" w:hAnsi="Times New Roman"/>
          <w:sz w:val="22"/>
          <w:szCs w:val="22"/>
          <w:lang w:val="en-US"/>
        </w:rPr>
        <w:t xml:space="preserve"> reform (</w:t>
      </w:r>
      <w:proofErr w:type="spellStart"/>
      <w:r w:rsidR="00A87CDB" w:rsidRPr="00474548">
        <w:rPr>
          <w:rFonts w:ascii="Times New Roman" w:hAnsi="Times New Roman"/>
          <w:sz w:val="22"/>
          <w:szCs w:val="22"/>
          <w:lang w:val="en-US"/>
        </w:rPr>
        <w:t>Ergas</w:t>
      </w:r>
      <w:proofErr w:type="spellEnd"/>
      <w:r w:rsidR="00A87CDB" w:rsidRPr="00474548">
        <w:rPr>
          <w:rFonts w:ascii="Times New Roman" w:hAnsi="Times New Roman"/>
          <w:sz w:val="22"/>
          <w:szCs w:val="22"/>
          <w:lang w:val="en-US"/>
        </w:rPr>
        <w:t xml:space="preserve"> et al., 2001). In a given situation, RR</w:t>
      </w:r>
      <w:r w:rsidR="00D06A87" w:rsidRPr="00474548">
        <w:rPr>
          <w:rFonts w:ascii="Times New Roman" w:hAnsi="Times New Roman"/>
          <w:sz w:val="22"/>
          <w:szCs w:val="22"/>
          <w:lang w:val="en-US"/>
        </w:rPr>
        <w:t xml:space="preserve"> is </w:t>
      </w:r>
      <w:r w:rsidR="00F8676B" w:rsidRPr="00474548">
        <w:rPr>
          <w:rFonts w:ascii="Times New Roman" w:hAnsi="Times New Roman"/>
          <w:sz w:val="22"/>
          <w:szCs w:val="22"/>
          <w:lang w:val="en-US"/>
        </w:rPr>
        <w:t>seen to be</w:t>
      </w:r>
      <w:r w:rsidR="00A87CDB" w:rsidRPr="00474548">
        <w:rPr>
          <w:rFonts w:ascii="Times New Roman" w:hAnsi="Times New Roman"/>
          <w:sz w:val="22"/>
          <w:szCs w:val="22"/>
          <w:lang w:val="en-US"/>
        </w:rPr>
        <w:t xml:space="preserve"> </w:t>
      </w:r>
      <w:r w:rsidR="00F8676B" w:rsidRPr="00474548">
        <w:rPr>
          <w:rFonts w:ascii="Times New Roman" w:hAnsi="Times New Roman"/>
          <w:sz w:val="22"/>
          <w:szCs w:val="22"/>
          <w:lang w:val="en-US"/>
        </w:rPr>
        <w:t xml:space="preserve">emanating </w:t>
      </w:r>
      <w:r w:rsidR="00A87CDB" w:rsidRPr="00474548">
        <w:rPr>
          <w:rFonts w:ascii="Times New Roman" w:hAnsi="Times New Roman"/>
          <w:sz w:val="22"/>
          <w:szCs w:val="22"/>
          <w:lang w:val="en-US"/>
        </w:rPr>
        <w:t xml:space="preserve">from the implementation and enforcement of regulatory rules, both for the macro economy and </w:t>
      </w:r>
      <w:r w:rsidR="00F8676B" w:rsidRPr="00474548">
        <w:rPr>
          <w:rFonts w:ascii="Times New Roman" w:hAnsi="Times New Roman"/>
          <w:sz w:val="22"/>
          <w:szCs w:val="22"/>
          <w:lang w:val="en-US"/>
        </w:rPr>
        <w:t xml:space="preserve">the </w:t>
      </w:r>
      <w:r w:rsidR="00A87CDB" w:rsidRPr="00474548">
        <w:rPr>
          <w:rFonts w:ascii="Times New Roman" w:hAnsi="Times New Roman"/>
          <w:sz w:val="22"/>
          <w:szCs w:val="22"/>
          <w:lang w:val="en-US"/>
        </w:rPr>
        <w:t>industrial sectors as a whole</w:t>
      </w:r>
      <w:r w:rsidR="002806E7" w:rsidRPr="00474548">
        <w:rPr>
          <w:rFonts w:ascii="Times New Roman" w:hAnsi="Times New Roman"/>
          <w:sz w:val="22"/>
          <w:szCs w:val="22"/>
          <w:lang w:val="en-US"/>
        </w:rPr>
        <w:t xml:space="preserve">. At </w:t>
      </w:r>
      <w:r w:rsidR="00A87CDB" w:rsidRPr="00474548">
        <w:rPr>
          <w:rFonts w:ascii="Times New Roman" w:hAnsi="Times New Roman"/>
          <w:sz w:val="22"/>
          <w:szCs w:val="22"/>
          <w:lang w:val="en-US"/>
        </w:rPr>
        <w:t xml:space="preserve">the level of specific projects, </w:t>
      </w:r>
      <w:r w:rsidR="002806E7" w:rsidRPr="00474548">
        <w:rPr>
          <w:rFonts w:ascii="Times New Roman" w:hAnsi="Times New Roman"/>
          <w:sz w:val="22"/>
          <w:szCs w:val="22"/>
          <w:lang w:val="en-US"/>
        </w:rPr>
        <w:t xml:space="preserve">RR is </w:t>
      </w:r>
      <w:r w:rsidR="002806E7" w:rsidRPr="00474548">
        <w:rPr>
          <w:rFonts w:ascii="Times New Roman" w:hAnsi="Times New Roman"/>
          <w:sz w:val="22"/>
          <w:szCs w:val="22"/>
          <w:lang w:val="en-US"/>
        </w:rPr>
        <w:lastRenderedPageBreak/>
        <w:t xml:space="preserve">determined by the </w:t>
      </w:r>
      <w:r w:rsidR="00A87CDB" w:rsidRPr="00474548">
        <w:rPr>
          <w:rFonts w:ascii="Times New Roman" w:hAnsi="Times New Roman"/>
          <w:sz w:val="22"/>
          <w:szCs w:val="22"/>
          <w:lang w:val="en-US"/>
        </w:rPr>
        <w:t>rules contained in contracts with governments, laws</w:t>
      </w:r>
      <w:r w:rsidR="002806E7" w:rsidRPr="00474548">
        <w:rPr>
          <w:rFonts w:ascii="Times New Roman" w:hAnsi="Times New Roman"/>
          <w:sz w:val="22"/>
          <w:szCs w:val="22"/>
          <w:lang w:val="en-US"/>
        </w:rPr>
        <w:t>,</w:t>
      </w:r>
      <w:r w:rsidR="00A87CDB" w:rsidRPr="00474548">
        <w:rPr>
          <w:rFonts w:ascii="Times New Roman" w:hAnsi="Times New Roman"/>
          <w:sz w:val="22"/>
          <w:szCs w:val="22"/>
          <w:lang w:val="en-US"/>
        </w:rPr>
        <w:t xml:space="preserve"> and in other legal instruments (Smith, 1997; Veiga et al., 2012). RR arises whenever the regulation affects the capital cost of a company (Wright et al., 2003, p. 118)</w:t>
      </w:r>
      <w:r w:rsidR="002806E7" w:rsidRPr="00474548">
        <w:rPr>
          <w:rFonts w:ascii="Times New Roman" w:hAnsi="Times New Roman"/>
          <w:sz w:val="22"/>
          <w:szCs w:val="22"/>
          <w:lang w:val="en-US"/>
        </w:rPr>
        <w:t>, thus,</w:t>
      </w:r>
      <w:r w:rsidR="00A87CDB" w:rsidRPr="00474548">
        <w:rPr>
          <w:rFonts w:ascii="Times New Roman" w:hAnsi="Times New Roman"/>
          <w:sz w:val="22"/>
          <w:szCs w:val="22"/>
          <w:lang w:val="en-US"/>
        </w:rPr>
        <w:t xml:space="preserve"> potentially </w:t>
      </w:r>
      <w:r w:rsidR="002806E7" w:rsidRPr="00474548">
        <w:rPr>
          <w:rFonts w:ascii="Times New Roman" w:hAnsi="Times New Roman"/>
          <w:sz w:val="22"/>
          <w:szCs w:val="22"/>
          <w:lang w:val="en-US"/>
        </w:rPr>
        <w:t>altering</w:t>
      </w:r>
      <w:r w:rsidR="00A87CDB" w:rsidRPr="00474548">
        <w:rPr>
          <w:rFonts w:ascii="Times New Roman" w:hAnsi="Times New Roman"/>
          <w:sz w:val="22"/>
          <w:szCs w:val="22"/>
          <w:lang w:val="en-US"/>
        </w:rPr>
        <w:t xml:space="preserve"> the composition of costs</w:t>
      </w:r>
      <w:r w:rsidR="002806E7" w:rsidRPr="00474548">
        <w:rPr>
          <w:rFonts w:ascii="Times New Roman" w:hAnsi="Times New Roman"/>
          <w:sz w:val="22"/>
          <w:szCs w:val="22"/>
          <w:lang w:val="en-US"/>
        </w:rPr>
        <w:t xml:space="preserve"> and resulting in</w:t>
      </w:r>
      <w:r w:rsidR="00D06A87" w:rsidRPr="00474548">
        <w:rPr>
          <w:rFonts w:ascii="Times New Roman" w:hAnsi="Times New Roman"/>
          <w:sz w:val="22"/>
          <w:szCs w:val="22"/>
          <w:lang w:val="en-US"/>
        </w:rPr>
        <w:t xml:space="preserve"> major</w:t>
      </w:r>
      <w:r w:rsidR="00A87CDB" w:rsidRPr="00474548">
        <w:rPr>
          <w:rFonts w:ascii="Times New Roman" w:hAnsi="Times New Roman"/>
          <w:sz w:val="22"/>
          <w:szCs w:val="22"/>
          <w:lang w:val="en-US"/>
        </w:rPr>
        <w:t xml:space="preserve"> losses or profits to an institution (</w:t>
      </w:r>
      <w:proofErr w:type="spellStart"/>
      <w:r w:rsidR="00A87CDB" w:rsidRPr="00474548">
        <w:rPr>
          <w:rFonts w:ascii="Times New Roman" w:hAnsi="Times New Roman"/>
          <w:sz w:val="22"/>
          <w:szCs w:val="22"/>
          <w:lang w:val="en-US"/>
        </w:rPr>
        <w:t>Saddi</w:t>
      </w:r>
      <w:proofErr w:type="spellEnd"/>
      <w:r w:rsidR="00A87CDB" w:rsidRPr="00474548">
        <w:rPr>
          <w:rFonts w:ascii="Times New Roman" w:hAnsi="Times New Roman"/>
          <w:sz w:val="22"/>
          <w:szCs w:val="22"/>
          <w:lang w:val="en-US"/>
        </w:rPr>
        <w:t>, 2011).</w:t>
      </w:r>
    </w:p>
    <w:p w14:paraId="63FD9F70" w14:textId="0C0ECA11" w:rsidR="005B605A" w:rsidRPr="00474548" w:rsidRDefault="005B605A" w:rsidP="006547D2">
      <w:pPr>
        <w:ind w:firstLine="709"/>
        <w:jc w:val="both"/>
        <w:rPr>
          <w:sz w:val="22"/>
          <w:szCs w:val="22"/>
          <w:lang w:val="en-US"/>
        </w:rPr>
      </w:pPr>
      <w:r w:rsidRPr="00474548">
        <w:rPr>
          <w:sz w:val="22"/>
          <w:szCs w:val="22"/>
          <w:lang w:val="en-US"/>
        </w:rPr>
        <w:t xml:space="preserve">RR is particularly acute when the regulator has a high range of </w:t>
      </w:r>
      <w:r w:rsidR="002806E7" w:rsidRPr="00474548">
        <w:rPr>
          <w:sz w:val="22"/>
          <w:szCs w:val="22"/>
          <w:lang w:val="en-US"/>
        </w:rPr>
        <w:t>maneuver</w:t>
      </w:r>
      <w:r w:rsidRPr="00474548">
        <w:rPr>
          <w:sz w:val="22"/>
          <w:szCs w:val="22"/>
          <w:lang w:val="en-US"/>
        </w:rPr>
        <w:t xml:space="preserve">, in terms of frequency, </w:t>
      </w:r>
      <w:r w:rsidR="00D06A87" w:rsidRPr="00474548">
        <w:rPr>
          <w:sz w:val="22"/>
          <w:szCs w:val="22"/>
          <w:lang w:val="en-US"/>
        </w:rPr>
        <w:t xml:space="preserve">depth of </w:t>
      </w:r>
      <w:r w:rsidRPr="00474548">
        <w:rPr>
          <w:sz w:val="22"/>
          <w:szCs w:val="22"/>
          <w:lang w:val="en-US"/>
        </w:rPr>
        <w:t>changes</w:t>
      </w:r>
      <w:r w:rsidR="002806E7" w:rsidRPr="00474548">
        <w:rPr>
          <w:sz w:val="22"/>
          <w:szCs w:val="22"/>
          <w:lang w:val="en-US"/>
        </w:rPr>
        <w:t>,</w:t>
      </w:r>
      <w:r w:rsidRPr="00474548">
        <w:rPr>
          <w:sz w:val="22"/>
          <w:szCs w:val="22"/>
          <w:lang w:val="en-US"/>
        </w:rPr>
        <w:t xml:space="preserve"> and freedom of tariff adjustments. If the regulator is able to make adjustments on a frequent basis, RR shows an increase. Conversely, when the regulator has restrictions and is able to make only minor changes at longer intervals in the base price, </w:t>
      </w:r>
      <w:r w:rsidR="001F5B4D" w:rsidRPr="00474548">
        <w:rPr>
          <w:sz w:val="22"/>
          <w:szCs w:val="22"/>
          <w:lang w:val="en-US"/>
        </w:rPr>
        <w:t>RR show</w:t>
      </w:r>
      <w:r w:rsidR="00BB27E6" w:rsidRPr="00474548">
        <w:rPr>
          <w:sz w:val="22"/>
          <w:szCs w:val="22"/>
          <w:lang w:val="en-US"/>
        </w:rPr>
        <w:t>s</w:t>
      </w:r>
      <w:r w:rsidRPr="00474548">
        <w:rPr>
          <w:sz w:val="22"/>
          <w:szCs w:val="22"/>
          <w:lang w:val="en-US"/>
        </w:rPr>
        <w:t xml:space="preserve"> a decrease (Wright et al., 2003).</w:t>
      </w:r>
      <w:r w:rsidR="006547D2" w:rsidRPr="00474548">
        <w:rPr>
          <w:sz w:val="22"/>
          <w:szCs w:val="22"/>
          <w:lang w:val="en-US"/>
        </w:rPr>
        <w:t xml:space="preserve"> </w:t>
      </w:r>
      <w:proofErr w:type="spellStart"/>
      <w:r w:rsidRPr="00474548">
        <w:rPr>
          <w:sz w:val="22"/>
          <w:szCs w:val="22"/>
          <w:lang w:val="en-US"/>
        </w:rPr>
        <w:t>Ergas</w:t>
      </w:r>
      <w:proofErr w:type="spellEnd"/>
      <w:r w:rsidRPr="00474548">
        <w:rPr>
          <w:sz w:val="22"/>
          <w:szCs w:val="22"/>
          <w:lang w:val="en-US"/>
        </w:rPr>
        <w:t xml:space="preserve"> et al</w:t>
      </w:r>
      <w:r w:rsidRPr="00474548">
        <w:rPr>
          <w:i/>
          <w:sz w:val="22"/>
          <w:szCs w:val="22"/>
          <w:lang w:val="en-US"/>
        </w:rPr>
        <w:t xml:space="preserve">. </w:t>
      </w:r>
      <w:r w:rsidRPr="00474548">
        <w:rPr>
          <w:sz w:val="22"/>
          <w:szCs w:val="22"/>
          <w:lang w:val="en-US"/>
        </w:rPr>
        <w:t xml:space="preserve">(2001) expose factors that directly affect the cost of RR. The first factor is relative to the frequency of decision </w:t>
      </w:r>
      <w:r w:rsidR="001F5B4D" w:rsidRPr="00474548">
        <w:rPr>
          <w:sz w:val="22"/>
          <w:szCs w:val="22"/>
          <w:lang w:val="en-US"/>
        </w:rPr>
        <w:t>points;</w:t>
      </w:r>
      <w:r w:rsidRPr="00474548">
        <w:rPr>
          <w:sz w:val="22"/>
          <w:szCs w:val="22"/>
          <w:lang w:val="en-US"/>
        </w:rPr>
        <w:t xml:space="preserve"> in this case, RR arises only in the presence of irrecoverable costs and increases with the constancy of regulatory events. The second factor refers to the appreciation level of each decision point and</w:t>
      </w:r>
      <w:r w:rsidR="002806E7" w:rsidRPr="00474548">
        <w:rPr>
          <w:sz w:val="22"/>
          <w:szCs w:val="22"/>
          <w:lang w:val="en-US"/>
        </w:rPr>
        <w:t>,</w:t>
      </w:r>
      <w:r w:rsidRPr="00474548">
        <w:rPr>
          <w:sz w:val="22"/>
          <w:szCs w:val="22"/>
          <w:lang w:val="en-US"/>
        </w:rPr>
        <w:t xml:space="preserve"> therefore</w:t>
      </w:r>
      <w:r w:rsidR="002806E7" w:rsidRPr="00474548">
        <w:rPr>
          <w:sz w:val="22"/>
          <w:szCs w:val="22"/>
          <w:lang w:val="en-US"/>
        </w:rPr>
        <w:t>,</w:t>
      </w:r>
      <w:r w:rsidRPr="00474548">
        <w:rPr>
          <w:sz w:val="22"/>
          <w:szCs w:val="22"/>
          <w:lang w:val="en-US"/>
        </w:rPr>
        <w:t xml:space="preserve"> the regulation </w:t>
      </w:r>
      <w:r w:rsidR="001F5B4D" w:rsidRPr="00474548">
        <w:rPr>
          <w:sz w:val="22"/>
          <w:szCs w:val="22"/>
          <w:lang w:val="en-US"/>
        </w:rPr>
        <w:t>cannot</w:t>
      </w:r>
      <w:r w:rsidRPr="00474548">
        <w:rPr>
          <w:sz w:val="22"/>
          <w:szCs w:val="22"/>
          <w:lang w:val="en-US"/>
        </w:rPr>
        <w:t xml:space="preserve"> leave discretionary items, i.e.</w:t>
      </w:r>
      <w:r w:rsidR="002806E7" w:rsidRPr="00474548">
        <w:rPr>
          <w:sz w:val="22"/>
          <w:szCs w:val="22"/>
          <w:lang w:val="en-US"/>
        </w:rPr>
        <w:t>,</w:t>
      </w:r>
      <w:r w:rsidRPr="00474548">
        <w:rPr>
          <w:sz w:val="22"/>
          <w:szCs w:val="22"/>
          <w:lang w:val="en-US"/>
        </w:rPr>
        <w:t xml:space="preserve"> </w:t>
      </w:r>
      <w:r w:rsidR="00D06A87" w:rsidRPr="00474548">
        <w:rPr>
          <w:sz w:val="22"/>
          <w:szCs w:val="22"/>
          <w:lang w:val="en-US"/>
        </w:rPr>
        <w:t xml:space="preserve">leaving </w:t>
      </w:r>
      <w:r w:rsidRPr="00474548">
        <w:rPr>
          <w:sz w:val="22"/>
          <w:szCs w:val="22"/>
          <w:lang w:val="en-US"/>
        </w:rPr>
        <w:t xml:space="preserve">the </w:t>
      </w:r>
      <w:r w:rsidR="00D06A87" w:rsidRPr="00474548">
        <w:rPr>
          <w:sz w:val="22"/>
          <w:szCs w:val="22"/>
          <w:lang w:val="en-US"/>
        </w:rPr>
        <w:t xml:space="preserve">company’s </w:t>
      </w:r>
      <w:r w:rsidRPr="00474548">
        <w:rPr>
          <w:sz w:val="22"/>
          <w:szCs w:val="22"/>
          <w:lang w:val="en-US"/>
        </w:rPr>
        <w:t>decision</w:t>
      </w:r>
      <w:r w:rsidR="002806E7" w:rsidRPr="00474548">
        <w:rPr>
          <w:sz w:val="22"/>
          <w:szCs w:val="22"/>
          <w:lang w:val="en-US"/>
        </w:rPr>
        <w:t xml:space="preserve"> open-ended</w:t>
      </w:r>
      <w:r w:rsidRPr="00474548">
        <w:rPr>
          <w:sz w:val="22"/>
          <w:szCs w:val="22"/>
          <w:lang w:val="en-US"/>
        </w:rPr>
        <w:t>.</w:t>
      </w:r>
    </w:p>
    <w:p w14:paraId="13DA6C59" w14:textId="77777777" w:rsidR="005B605A" w:rsidRPr="00474548" w:rsidRDefault="005B605A" w:rsidP="008E6F8E">
      <w:pPr>
        <w:pStyle w:val="Default"/>
        <w:rPr>
          <w:sz w:val="22"/>
          <w:szCs w:val="22"/>
          <w:lang w:val="en-US"/>
        </w:rPr>
      </w:pPr>
    </w:p>
    <w:p w14:paraId="3D7B51F2" w14:textId="464BCCD0" w:rsidR="005B605A" w:rsidRPr="00474548" w:rsidRDefault="005B605A" w:rsidP="008E6F8E">
      <w:pPr>
        <w:pStyle w:val="Subtitle"/>
        <w:rPr>
          <w:rFonts w:ascii="Times New Roman" w:hAnsi="Times New Roman"/>
          <w:b/>
          <w:sz w:val="22"/>
          <w:szCs w:val="22"/>
          <w:lang w:val="en-US"/>
        </w:rPr>
      </w:pPr>
      <w:bookmarkStart w:id="14" w:name="_Toc391473692"/>
      <w:r w:rsidRPr="00474548">
        <w:rPr>
          <w:rFonts w:ascii="Times New Roman" w:hAnsi="Times New Roman"/>
          <w:b/>
          <w:sz w:val="22"/>
          <w:szCs w:val="22"/>
          <w:lang w:val="en-US"/>
        </w:rPr>
        <w:t>2.3 The Brazilian Electric</w:t>
      </w:r>
      <w:r w:rsidR="00162168" w:rsidRPr="00474548">
        <w:rPr>
          <w:rFonts w:ascii="Times New Roman" w:hAnsi="Times New Roman"/>
          <w:b/>
          <w:sz w:val="22"/>
          <w:szCs w:val="22"/>
          <w:lang w:val="en-US"/>
        </w:rPr>
        <w:t>ity</w:t>
      </w:r>
      <w:r w:rsidRPr="00474548">
        <w:rPr>
          <w:rFonts w:ascii="Times New Roman" w:hAnsi="Times New Roman"/>
          <w:b/>
          <w:sz w:val="22"/>
          <w:szCs w:val="22"/>
          <w:lang w:val="en-US"/>
        </w:rPr>
        <w:t xml:space="preserve"> Energy Market</w:t>
      </w:r>
      <w:bookmarkEnd w:id="14"/>
    </w:p>
    <w:p w14:paraId="3F0392EC" w14:textId="3949DEFA" w:rsidR="005B605A" w:rsidRPr="00474548" w:rsidRDefault="00974B08" w:rsidP="008E6F8E">
      <w:pPr>
        <w:suppressAutoHyphens w:val="0"/>
        <w:autoSpaceDE w:val="0"/>
        <w:autoSpaceDN w:val="0"/>
        <w:adjustRightInd w:val="0"/>
        <w:ind w:firstLine="709"/>
        <w:jc w:val="both"/>
        <w:rPr>
          <w:rFonts w:eastAsiaTheme="minorEastAsia"/>
          <w:color w:val="000000" w:themeColor="text1"/>
          <w:kern w:val="0"/>
          <w:sz w:val="22"/>
          <w:szCs w:val="22"/>
          <w:lang w:val="en-US"/>
        </w:rPr>
      </w:pPr>
      <w:r w:rsidRPr="00474548">
        <w:rPr>
          <w:rFonts w:eastAsiaTheme="minorEastAsia"/>
          <w:color w:val="000000" w:themeColor="text1"/>
          <w:kern w:val="0"/>
          <w:sz w:val="22"/>
          <w:szCs w:val="22"/>
          <w:lang w:val="en-US"/>
        </w:rPr>
        <w:t>“The structure of the Brazilian energ</w:t>
      </w:r>
      <w:r w:rsidR="00162168" w:rsidRPr="00474548">
        <w:rPr>
          <w:rFonts w:eastAsiaTheme="minorEastAsia"/>
          <w:color w:val="000000" w:themeColor="text1"/>
          <w:kern w:val="0"/>
          <w:sz w:val="22"/>
          <w:szCs w:val="22"/>
          <w:lang w:val="en-US"/>
        </w:rPr>
        <w:t>y</w:t>
      </w:r>
      <w:r w:rsidRPr="00474548">
        <w:rPr>
          <w:rFonts w:eastAsiaTheme="minorEastAsia"/>
          <w:color w:val="000000" w:themeColor="text1"/>
          <w:kern w:val="0"/>
          <w:sz w:val="22"/>
          <w:szCs w:val="22"/>
          <w:lang w:val="en-US"/>
        </w:rPr>
        <w:t xml:space="preserve"> matrix defines Brazil as a world leader in the generation of electricity from renewable sources. In 2011, the share of renewable sources in electricity production reached 88.8%, thanks </w:t>
      </w:r>
      <w:r w:rsidR="002806E7" w:rsidRPr="00474548">
        <w:rPr>
          <w:rFonts w:eastAsiaTheme="minorEastAsia"/>
          <w:color w:val="000000" w:themeColor="text1"/>
          <w:kern w:val="0"/>
          <w:sz w:val="22"/>
          <w:szCs w:val="22"/>
          <w:lang w:val="en-US"/>
        </w:rPr>
        <w:t xml:space="preserve">mainly </w:t>
      </w:r>
      <w:r w:rsidRPr="00474548">
        <w:rPr>
          <w:rFonts w:eastAsiaTheme="minorEastAsia"/>
          <w:color w:val="000000" w:themeColor="text1"/>
          <w:kern w:val="0"/>
          <w:sz w:val="22"/>
          <w:szCs w:val="22"/>
          <w:lang w:val="en-US"/>
        </w:rPr>
        <w:t>to the large national water potential” (</w:t>
      </w:r>
      <w:proofErr w:type="spellStart"/>
      <w:r w:rsidRPr="00474548">
        <w:rPr>
          <w:rFonts w:eastAsiaTheme="minorEastAsia"/>
          <w:color w:val="000000" w:themeColor="text1"/>
          <w:kern w:val="0"/>
          <w:sz w:val="22"/>
          <w:szCs w:val="22"/>
          <w:lang w:val="en-US"/>
        </w:rPr>
        <w:t>Gerra</w:t>
      </w:r>
      <w:proofErr w:type="spellEnd"/>
      <w:r w:rsidRPr="00474548">
        <w:rPr>
          <w:rFonts w:eastAsiaTheme="minorEastAsia"/>
          <w:color w:val="000000" w:themeColor="text1"/>
          <w:kern w:val="0"/>
          <w:sz w:val="22"/>
          <w:szCs w:val="22"/>
          <w:lang w:val="en-US"/>
        </w:rPr>
        <w:t xml:space="preserve"> et al., 2014). The current composition of the national energy matrix has outstanding participation of </w:t>
      </w:r>
      <w:r w:rsidR="008B17DD" w:rsidRPr="00474548">
        <w:rPr>
          <w:rFonts w:eastAsiaTheme="minorEastAsia"/>
          <w:color w:val="000000" w:themeColor="text1"/>
          <w:kern w:val="0"/>
          <w:sz w:val="22"/>
          <w:szCs w:val="22"/>
          <w:lang w:val="en-US"/>
        </w:rPr>
        <w:t>hydropower</w:t>
      </w:r>
      <w:r w:rsidRPr="00474548">
        <w:rPr>
          <w:rFonts w:eastAsiaTheme="minorEastAsia"/>
          <w:color w:val="000000" w:themeColor="text1"/>
          <w:kern w:val="0"/>
          <w:sz w:val="22"/>
          <w:szCs w:val="22"/>
          <w:lang w:val="en-US"/>
        </w:rPr>
        <w:t xml:space="preserve">, </w:t>
      </w:r>
      <w:r w:rsidR="00D06A87" w:rsidRPr="00474548">
        <w:rPr>
          <w:rFonts w:eastAsiaTheme="minorEastAsia"/>
          <w:color w:val="000000" w:themeColor="text1"/>
          <w:kern w:val="0"/>
          <w:sz w:val="22"/>
          <w:szCs w:val="22"/>
          <w:lang w:val="en-US"/>
        </w:rPr>
        <w:t>al</w:t>
      </w:r>
      <w:r w:rsidRPr="00474548">
        <w:rPr>
          <w:rFonts w:eastAsiaTheme="minorEastAsia"/>
          <w:color w:val="000000" w:themeColor="text1"/>
          <w:kern w:val="0"/>
          <w:sz w:val="22"/>
          <w:szCs w:val="22"/>
          <w:lang w:val="en-US"/>
        </w:rPr>
        <w:t>though the country has great potential for exploitation of other renewable energy sources such as wind, solar</w:t>
      </w:r>
      <w:r w:rsidR="002806E7" w:rsidRPr="00474548">
        <w:rPr>
          <w:rFonts w:eastAsiaTheme="minorEastAsia"/>
          <w:color w:val="000000" w:themeColor="text1"/>
          <w:kern w:val="0"/>
          <w:sz w:val="22"/>
          <w:szCs w:val="22"/>
          <w:lang w:val="en-US"/>
        </w:rPr>
        <w:t>,</w:t>
      </w:r>
      <w:r w:rsidRPr="00474548">
        <w:rPr>
          <w:rFonts w:eastAsiaTheme="minorEastAsia"/>
          <w:color w:val="000000" w:themeColor="text1"/>
          <w:kern w:val="0"/>
          <w:sz w:val="22"/>
          <w:szCs w:val="22"/>
          <w:lang w:val="en-US"/>
        </w:rPr>
        <w:t xml:space="preserve"> and biomass (</w:t>
      </w:r>
      <w:proofErr w:type="spellStart"/>
      <w:r w:rsidRPr="00474548">
        <w:rPr>
          <w:rFonts w:eastAsiaTheme="minorEastAsia"/>
          <w:color w:val="000000" w:themeColor="text1"/>
          <w:kern w:val="0"/>
          <w:sz w:val="22"/>
          <w:szCs w:val="22"/>
          <w:lang w:val="en-US"/>
        </w:rPr>
        <w:t>Gerra</w:t>
      </w:r>
      <w:proofErr w:type="spellEnd"/>
      <w:r w:rsidRPr="00474548">
        <w:rPr>
          <w:rFonts w:eastAsiaTheme="minorEastAsia"/>
          <w:color w:val="000000" w:themeColor="text1"/>
          <w:kern w:val="0"/>
          <w:sz w:val="22"/>
          <w:szCs w:val="22"/>
          <w:lang w:val="en-US"/>
        </w:rPr>
        <w:t xml:space="preserve"> et al., 2014).</w:t>
      </w:r>
    </w:p>
    <w:p w14:paraId="072831B1" w14:textId="2F52F767" w:rsidR="005B605A" w:rsidRPr="00474548" w:rsidRDefault="00276EEE" w:rsidP="008E6F8E">
      <w:pPr>
        <w:ind w:firstLine="709"/>
        <w:jc w:val="both"/>
        <w:rPr>
          <w:rFonts w:eastAsia="Times New Roman"/>
          <w:color w:val="292526"/>
          <w:kern w:val="0"/>
          <w:sz w:val="22"/>
          <w:szCs w:val="22"/>
          <w:lang w:val="en-US"/>
        </w:rPr>
      </w:pPr>
      <w:r w:rsidRPr="00474548">
        <w:rPr>
          <w:sz w:val="22"/>
          <w:szCs w:val="22"/>
          <w:lang w:val="en-US"/>
        </w:rPr>
        <w:t>The Brazilian electric</w:t>
      </w:r>
      <w:r w:rsidR="00162168" w:rsidRPr="00474548">
        <w:rPr>
          <w:sz w:val="22"/>
          <w:szCs w:val="22"/>
          <w:lang w:val="en-US"/>
        </w:rPr>
        <w:t>ity</w:t>
      </w:r>
      <w:r w:rsidR="00690B0E" w:rsidRPr="00474548">
        <w:rPr>
          <w:sz w:val="22"/>
          <w:szCs w:val="22"/>
          <w:lang w:val="en-US"/>
        </w:rPr>
        <w:t xml:space="preserve"> power system (ANNEL</w:t>
      </w:r>
      <w:r w:rsidRPr="00474548">
        <w:rPr>
          <w:sz w:val="22"/>
          <w:szCs w:val="22"/>
          <w:lang w:val="en-US"/>
        </w:rPr>
        <w:t xml:space="preserve">, 2008), </w:t>
      </w:r>
      <w:r w:rsidR="002806E7" w:rsidRPr="00474548">
        <w:rPr>
          <w:sz w:val="22"/>
          <w:szCs w:val="22"/>
          <w:lang w:val="en-US"/>
        </w:rPr>
        <w:t xml:space="preserve">with its foundation in </w:t>
      </w:r>
      <w:r w:rsidRPr="00474548">
        <w:rPr>
          <w:sz w:val="22"/>
          <w:szCs w:val="22"/>
          <w:lang w:val="en-US"/>
        </w:rPr>
        <w:t xml:space="preserve">the water potential of the country, presents the basis </w:t>
      </w:r>
      <w:r w:rsidR="00162168" w:rsidRPr="00474548">
        <w:rPr>
          <w:sz w:val="22"/>
          <w:szCs w:val="22"/>
          <w:lang w:val="en-US"/>
        </w:rPr>
        <w:t xml:space="preserve">for </w:t>
      </w:r>
      <w:r w:rsidRPr="00474548">
        <w:rPr>
          <w:sz w:val="22"/>
          <w:szCs w:val="22"/>
          <w:lang w:val="en-US"/>
        </w:rPr>
        <w:t xml:space="preserve">its development through the alternation of the participation of private capital and public capital </w:t>
      </w:r>
      <w:r w:rsidRPr="00474548">
        <w:rPr>
          <w:color w:val="292526"/>
          <w:kern w:val="0"/>
          <w:sz w:val="22"/>
          <w:szCs w:val="22"/>
          <w:lang w:val="en-US"/>
        </w:rPr>
        <w:t>(</w:t>
      </w:r>
      <w:proofErr w:type="spellStart"/>
      <w:r w:rsidRPr="00474548">
        <w:rPr>
          <w:color w:val="292526"/>
          <w:kern w:val="0"/>
          <w:sz w:val="22"/>
          <w:szCs w:val="22"/>
          <w:lang w:val="en-US"/>
        </w:rPr>
        <w:t>Siffert</w:t>
      </w:r>
      <w:proofErr w:type="spellEnd"/>
      <w:r w:rsidRPr="00474548">
        <w:rPr>
          <w:color w:val="292526"/>
          <w:kern w:val="0"/>
          <w:sz w:val="22"/>
          <w:szCs w:val="22"/>
          <w:lang w:val="en-US"/>
        </w:rPr>
        <w:t xml:space="preserve"> </w:t>
      </w:r>
      <w:proofErr w:type="spellStart"/>
      <w:r w:rsidRPr="00474548">
        <w:rPr>
          <w:color w:val="292526"/>
          <w:kern w:val="0"/>
          <w:sz w:val="22"/>
          <w:szCs w:val="22"/>
          <w:lang w:val="en-US"/>
        </w:rPr>
        <w:t>Filho</w:t>
      </w:r>
      <w:proofErr w:type="spellEnd"/>
      <w:r w:rsidRPr="00474548">
        <w:rPr>
          <w:color w:val="292526"/>
          <w:kern w:val="0"/>
          <w:sz w:val="22"/>
          <w:szCs w:val="22"/>
          <w:lang w:val="en-US"/>
        </w:rPr>
        <w:t xml:space="preserve"> et al., 2009; </w:t>
      </w:r>
      <w:proofErr w:type="spellStart"/>
      <w:r w:rsidRPr="00474548">
        <w:rPr>
          <w:color w:val="000000"/>
          <w:kern w:val="0"/>
          <w:sz w:val="22"/>
          <w:szCs w:val="22"/>
          <w:lang w:val="en-US"/>
        </w:rPr>
        <w:t>Malaguti</w:t>
      </w:r>
      <w:proofErr w:type="spellEnd"/>
      <w:r w:rsidRPr="00474548">
        <w:rPr>
          <w:color w:val="000000"/>
          <w:kern w:val="0"/>
          <w:sz w:val="22"/>
          <w:szCs w:val="22"/>
          <w:lang w:val="en-US"/>
        </w:rPr>
        <w:t>, 2009</w:t>
      </w:r>
      <w:r w:rsidRPr="00474548">
        <w:rPr>
          <w:color w:val="292526"/>
          <w:kern w:val="0"/>
          <w:sz w:val="22"/>
          <w:szCs w:val="22"/>
          <w:lang w:val="en-US"/>
        </w:rPr>
        <w:t>)</w:t>
      </w:r>
      <w:r w:rsidRPr="00474548">
        <w:rPr>
          <w:sz w:val="22"/>
          <w:szCs w:val="22"/>
          <w:lang w:val="en-US"/>
        </w:rPr>
        <w:t xml:space="preserve">. </w:t>
      </w:r>
      <w:r w:rsidR="005B605A" w:rsidRPr="00474548">
        <w:rPr>
          <w:sz w:val="22"/>
          <w:szCs w:val="22"/>
          <w:lang w:val="en-US"/>
        </w:rPr>
        <w:t xml:space="preserve">However, </w:t>
      </w:r>
      <w:r w:rsidR="00D06A87" w:rsidRPr="00474548">
        <w:rPr>
          <w:sz w:val="22"/>
          <w:szCs w:val="22"/>
          <w:lang w:val="en-US"/>
        </w:rPr>
        <w:t xml:space="preserve">starting in </w:t>
      </w:r>
      <w:r w:rsidR="005B605A" w:rsidRPr="00474548">
        <w:rPr>
          <w:sz w:val="22"/>
          <w:szCs w:val="22"/>
          <w:lang w:val="en-US"/>
        </w:rPr>
        <w:t>the 1960s, the problems caused by the dominance of private concessionaires were the starting point for the nationalization of the sector (</w:t>
      </w:r>
      <w:proofErr w:type="spellStart"/>
      <w:r w:rsidR="005B605A" w:rsidRPr="00474548">
        <w:rPr>
          <w:sz w:val="22"/>
          <w:szCs w:val="22"/>
          <w:lang w:val="en-US"/>
        </w:rPr>
        <w:t>Buratini</w:t>
      </w:r>
      <w:proofErr w:type="spellEnd"/>
      <w:r w:rsidR="005B605A" w:rsidRPr="00474548">
        <w:rPr>
          <w:sz w:val="22"/>
          <w:szCs w:val="22"/>
          <w:lang w:val="en-US"/>
        </w:rPr>
        <w:t xml:space="preserve">, 2004, p. 29). In 1962, </w:t>
      </w:r>
      <w:proofErr w:type="spellStart"/>
      <w:r w:rsidR="005B605A" w:rsidRPr="00474548">
        <w:rPr>
          <w:sz w:val="22"/>
          <w:szCs w:val="22"/>
          <w:lang w:val="en-US"/>
        </w:rPr>
        <w:t>Eletrobras</w:t>
      </w:r>
      <w:proofErr w:type="spellEnd"/>
      <w:r w:rsidR="005B605A" w:rsidRPr="00474548">
        <w:rPr>
          <w:sz w:val="22"/>
          <w:szCs w:val="22"/>
          <w:lang w:val="en-US"/>
        </w:rPr>
        <w:t xml:space="preserve"> was created</w:t>
      </w:r>
      <w:r w:rsidR="00D06A87" w:rsidRPr="00474548">
        <w:rPr>
          <w:sz w:val="22"/>
          <w:szCs w:val="22"/>
          <w:lang w:val="en-US"/>
        </w:rPr>
        <w:t>; this</w:t>
      </w:r>
      <w:r w:rsidR="005B605A" w:rsidRPr="00474548">
        <w:rPr>
          <w:sz w:val="22"/>
          <w:szCs w:val="22"/>
          <w:lang w:val="en-US"/>
        </w:rPr>
        <w:t xml:space="preserve"> open capital company, controlled by the </w:t>
      </w:r>
      <w:r w:rsidR="00162168" w:rsidRPr="00474548">
        <w:rPr>
          <w:sz w:val="22"/>
          <w:szCs w:val="22"/>
          <w:lang w:val="en-US"/>
        </w:rPr>
        <w:t>f</w:t>
      </w:r>
      <w:r w:rsidR="005B605A" w:rsidRPr="00474548">
        <w:rPr>
          <w:sz w:val="22"/>
          <w:szCs w:val="22"/>
          <w:lang w:val="en-US"/>
        </w:rPr>
        <w:t xml:space="preserve">ederal </w:t>
      </w:r>
      <w:r w:rsidR="00162168" w:rsidRPr="00474548">
        <w:rPr>
          <w:sz w:val="22"/>
          <w:szCs w:val="22"/>
          <w:lang w:val="en-US"/>
        </w:rPr>
        <w:t>g</w:t>
      </w:r>
      <w:r w:rsidR="005B605A" w:rsidRPr="00474548">
        <w:rPr>
          <w:sz w:val="22"/>
          <w:szCs w:val="22"/>
          <w:lang w:val="en-US"/>
        </w:rPr>
        <w:t>overnment, operates in the areas of generation, transmission</w:t>
      </w:r>
      <w:r w:rsidR="00EF4A61" w:rsidRPr="00474548">
        <w:rPr>
          <w:sz w:val="22"/>
          <w:szCs w:val="22"/>
          <w:lang w:val="en-US"/>
        </w:rPr>
        <w:t>,</w:t>
      </w:r>
      <w:r w:rsidR="005B605A" w:rsidRPr="00474548">
        <w:rPr>
          <w:sz w:val="22"/>
          <w:szCs w:val="22"/>
          <w:lang w:val="en-US"/>
        </w:rPr>
        <w:t xml:space="preserve"> and distribution of electricity</w:t>
      </w:r>
      <w:r w:rsidR="005B605A" w:rsidRPr="00474548">
        <w:rPr>
          <w:color w:val="000000"/>
          <w:kern w:val="0"/>
          <w:sz w:val="22"/>
          <w:szCs w:val="22"/>
          <w:lang w:val="en-US"/>
        </w:rPr>
        <w:t xml:space="preserve">. </w:t>
      </w:r>
      <w:r w:rsidR="005B605A" w:rsidRPr="00474548">
        <w:rPr>
          <w:sz w:val="22"/>
          <w:szCs w:val="22"/>
          <w:lang w:val="en-US"/>
        </w:rPr>
        <w:t xml:space="preserve">In the following period, which lasted until the early 1990s, the development of the Brazilian electricity sector was marked by </w:t>
      </w:r>
      <w:r w:rsidR="00EF4A61" w:rsidRPr="00474548">
        <w:rPr>
          <w:sz w:val="22"/>
          <w:szCs w:val="22"/>
          <w:lang w:val="en-US"/>
        </w:rPr>
        <w:t>a nearly</w:t>
      </w:r>
      <w:r w:rsidR="005B605A" w:rsidRPr="00474548">
        <w:rPr>
          <w:sz w:val="22"/>
          <w:szCs w:val="22"/>
          <w:lang w:val="en-US"/>
        </w:rPr>
        <w:t xml:space="preserve"> absolute participation of the State</w:t>
      </w:r>
      <w:r w:rsidR="005B605A" w:rsidRPr="00474548">
        <w:rPr>
          <w:color w:val="292526"/>
          <w:kern w:val="0"/>
          <w:sz w:val="22"/>
          <w:szCs w:val="22"/>
          <w:lang w:val="en-US"/>
        </w:rPr>
        <w:t xml:space="preserve"> (</w:t>
      </w:r>
      <w:proofErr w:type="spellStart"/>
      <w:r w:rsidR="005B605A" w:rsidRPr="00474548">
        <w:rPr>
          <w:color w:val="292526"/>
          <w:kern w:val="0"/>
          <w:sz w:val="22"/>
          <w:szCs w:val="22"/>
          <w:lang w:val="en-US"/>
        </w:rPr>
        <w:t>Siffert</w:t>
      </w:r>
      <w:proofErr w:type="spellEnd"/>
      <w:r w:rsidR="005B605A" w:rsidRPr="00474548">
        <w:rPr>
          <w:color w:val="292526"/>
          <w:kern w:val="0"/>
          <w:sz w:val="22"/>
          <w:szCs w:val="22"/>
          <w:lang w:val="en-US"/>
        </w:rPr>
        <w:t xml:space="preserve"> </w:t>
      </w:r>
      <w:proofErr w:type="spellStart"/>
      <w:r w:rsidR="005B605A" w:rsidRPr="00474548">
        <w:rPr>
          <w:color w:val="292526"/>
          <w:kern w:val="0"/>
          <w:sz w:val="22"/>
          <w:szCs w:val="22"/>
          <w:lang w:val="en-US"/>
        </w:rPr>
        <w:t>Filho</w:t>
      </w:r>
      <w:proofErr w:type="spellEnd"/>
      <w:r w:rsidR="005B605A" w:rsidRPr="00474548">
        <w:rPr>
          <w:color w:val="292526"/>
          <w:kern w:val="0"/>
          <w:sz w:val="22"/>
          <w:szCs w:val="22"/>
          <w:lang w:val="en-US"/>
        </w:rPr>
        <w:t xml:space="preserve"> et al</w:t>
      </w:r>
      <w:r w:rsidR="005B605A" w:rsidRPr="00474548">
        <w:rPr>
          <w:i/>
          <w:color w:val="292526"/>
          <w:kern w:val="0"/>
          <w:sz w:val="22"/>
          <w:szCs w:val="22"/>
          <w:lang w:val="en-US"/>
        </w:rPr>
        <w:t>.,</w:t>
      </w:r>
      <w:r w:rsidR="005B605A" w:rsidRPr="00474548">
        <w:rPr>
          <w:color w:val="292526"/>
          <w:kern w:val="0"/>
          <w:sz w:val="22"/>
          <w:szCs w:val="22"/>
          <w:lang w:val="en-US"/>
        </w:rPr>
        <w:t xml:space="preserve"> 2009).</w:t>
      </w:r>
    </w:p>
    <w:p w14:paraId="2C07117E" w14:textId="5FE9E782" w:rsidR="005B605A" w:rsidRPr="00474548" w:rsidRDefault="000024F5" w:rsidP="008E6F8E">
      <w:pPr>
        <w:ind w:firstLine="851"/>
        <w:jc w:val="both"/>
        <w:rPr>
          <w:rFonts w:eastAsia="Times New Roman"/>
          <w:bCs/>
          <w:color w:val="292526"/>
          <w:kern w:val="0"/>
          <w:sz w:val="22"/>
          <w:szCs w:val="22"/>
          <w:lang w:val="en-US"/>
        </w:rPr>
      </w:pPr>
      <w:r w:rsidRPr="00474548">
        <w:rPr>
          <w:sz w:val="22"/>
          <w:szCs w:val="22"/>
          <w:lang w:val="en-US"/>
        </w:rPr>
        <w:t xml:space="preserve">Starting from </w:t>
      </w:r>
      <w:r w:rsidR="00EF4A61" w:rsidRPr="00474548">
        <w:rPr>
          <w:sz w:val="22"/>
          <w:szCs w:val="22"/>
          <w:lang w:val="en-US"/>
        </w:rPr>
        <w:t xml:space="preserve">the </w:t>
      </w:r>
      <w:r w:rsidRPr="00474548">
        <w:rPr>
          <w:sz w:val="22"/>
          <w:szCs w:val="22"/>
          <w:lang w:val="en-US"/>
        </w:rPr>
        <w:t>1990s</w:t>
      </w:r>
      <w:r w:rsidR="005B605A" w:rsidRPr="00474548">
        <w:rPr>
          <w:color w:val="292526"/>
          <w:kern w:val="0"/>
          <w:sz w:val="22"/>
          <w:szCs w:val="22"/>
          <w:lang w:val="en-US"/>
        </w:rPr>
        <w:t xml:space="preserve">, </w:t>
      </w:r>
      <w:r w:rsidRPr="00474548">
        <w:rPr>
          <w:color w:val="292526"/>
          <w:kern w:val="0"/>
          <w:sz w:val="22"/>
          <w:szCs w:val="22"/>
          <w:lang w:val="en-US"/>
        </w:rPr>
        <w:t>“</w:t>
      </w:r>
      <w:r w:rsidR="005B605A" w:rsidRPr="00474548">
        <w:rPr>
          <w:color w:val="292526"/>
          <w:kern w:val="0"/>
          <w:sz w:val="22"/>
          <w:szCs w:val="22"/>
          <w:lang w:val="en-US"/>
        </w:rPr>
        <w:t>with the financial market crisis and the inability of the State</w:t>
      </w:r>
      <w:r w:rsidR="00EF4A61" w:rsidRPr="00474548">
        <w:rPr>
          <w:color w:val="292526"/>
          <w:kern w:val="0"/>
          <w:sz w:val="22"/>
          <w:szCs w:val="22"/>
          <w:lang w:val="en-US"/>
        </w:rPr>
        <w:t xml:space="preserve"> to invest</w:t>
      </w:r>
      <w:r w:rsidR="005B605A" w:rsidRPr="00474548">
        <w:rPr>
          <w:color w:val="292526"/>
          <w:kern w:val="0"/>
          <w:sz w:val="22"/>
          <w:szCs w:val="22"/>
          <w:lang w:val="en-US"/>
        </w:rPr>
        <w:t>, there was a reopening of the private capital, with the adoption of a model based on free market rules</w:t>
      </w:r>
      <w:r w:rsidRPr="00474548">
        <w:rPr>
          <w:color w:val="292526"/>
          <w:kern w:val="0"/>
          <w:sz w:val="22"/>
          <w:szCs w:val="22"/>
          <w:lang w:val="en-US"/>
        </w:rPr>
        <w:t>”</w:t>
      </w:r>
      <w:r w:rsidR="005B605A" w:rsidRPr="00474548">
        <w:rPr>
          <w:color w:val="292526"/>
          <w:kern w:val="0"/>
          <w:sz w:val="22"/>
          <w:szCs w:val="22"/>
          <w:lang w:val="en-US"/>
        </w:rPr>
        <w:t xml:space="preserve"> (</w:t>
      </w:r>
      <w:proofErr w:type="spellStart"/>
      <w:r w:rsidR="005B605A" w:rsidRPr="00474548">
        <w:rPr>
          <w:color w:val="292526"/>
          <w:kern w:val="0"/>
          <w:sz w:val="22"/>
          <w:szCs w:val="22"/>
          <w:lang w:val="en-US"/>
        </w:rPr>
        <w:t>Siffert</w:t>
      </w:r>
      <w:proofErr w:type="spellEnd"/>
      <w:r w:rsidR="005B605A" w:rsidRPr="00474548">
        <w:rPr>
          <w:color w:val="292526"/>
          <w:kern w:val="0"/>
          <w:sz w:val="22"/>
          <w:szCs w:val="22"/>
          <w:lang w:val="en-US"/>
        </w:rPr>
        <w:t xml:space="preserve"> </w:t>
      </w:r>
      <w:proofErr w:type="spellStart"/>
      <w:r w:rsidR="005B605A" w:rsidRPr="00474548">
        <w:rPr>
          <w:color w:val="292526"/>
          <w:kern w:val="0"/>
          <w:sz w:val="22"/>
          <w:szCs w:val="22"/>
          <w:lang w:val="en-US"/>
        </w:rPr>
        <w:t>Filho</w:t>
      </w:r>
      <w:proofErr w:type="spellEnd"/>
      <w:r w:rsidR="005B605A" w:rsidRPr="00474548">
        <w:rPr>
          <w:color w:val="292526"/>
          <w:kern w:val="0"/>
          <w:sz w:val="22"/>
          <w:szCs w:val="22"/>
          <w:lang w:val="en-US"/>
        </w:rPr>
        <w:t xml:space="preserve"> et al</w:t>
      </w:r>
      <w:r w:rsidR="005B605A" w:rsidRPr="00474548">
        <w:rPr>
          <w:i/>
          <w:color w:val="292526"/>
          <w:kern w:val="0"/>
          <w:sz w:val="22"/>
          <w:szCs w:val="22"/>
          <w:lang w:val="en-US"/>
        </w:rPr>
        <w:t>.,</w:t>
      </w:r>
      <w:r w:rsidR="005B605A" w:rsidRPr="00474548">
        <w:rPr>
          <w:color w:val="292526"/>
          <w:kern w:val="0"/>
          <w:sz w:val="22"/>
          <w:szCs w:val="22"/>
          <w:lang w:val="en-US"/>
        </w:rPr>
        <w:t xml:space="preserve"> 2009). </w:t>
      </w:r>
      <w:r w:rsidR="005B605A" w:rsidRPr="00474548">
        <w:rPr>
          <w:sz w:val="22"/>
          <w:szCs w:val="22"/>
          <w:lang w:val="en-US"/>
        </w:rPr>
        <w:t xml:space="preserve">In this scenario, there </w:t>
      </w:r>
      <w:r w:rsidR="00EF4A61" w:rsidRPr="00474548">
        <w:rPr>
          <w:sz w:val="22"/>
          <w:szCs w:val="22"/>
          <w:lang w:val="en-US"/>
        </w:rPr>
        <w:t xml:space="preserve">was </w:t>
      </w:r>
      <w:r w:rsidR="005B605A" w:rsidRPr="00474548">
        <w:rPr>
          <w:sz w:val="22"/>
          <w:szCs w:val="22"/>
          <w:lang w:val="en-US"/>
        </w:rPr>
        <w:t xml:space="preserve">a transfer of the </w:t>
      </w:r>
      <w:r w:rsidR="00EF4A61" w:rsidRPr="00474548">
        <w:rPr>
          <w:sz w:val="22"/>
          <w:szCs w:val="22"/>
          <w:lang w:val="en-US"/>
        </w:rPr>
        <w:t xml:space="preserve">State-controlled </w:t>
      </w:r>
      <w:r w:rsidR="005B605A" w:rsidRPr="00474548">
        <w:rPr>
          <w:sz w:val="22"/>
          <w:szCs w:val="22"/>
          <w:lang w:val="en-US"/>
        </w:rPr>
        <w:t>Brazilian electric</w:t>
      </w:r>
      <w:r w:rsidR="00162168" w:rsidRPr="00474548">
        <w:rPr>
          <w:sz w:val="22"/>
          <w:szCs w:val="22"/>
          <w:lang w:val="en-US"/>
        </w:rPr>
        <w:t>ity</w:t>
      </w:r>
      <w:r w:rsidR="005B605A" w:rsidRPr="00474548">
        <w:rPr>
          <w:sz w:val="22"/>
          <w:szCs w:val="22"/>
          <w:lang w:val="en-US"/>
        </w:rPr>
        <w:t xml:space="preserve"> sector to private initiative hands (</w:t>
      </w:r>
      <w:proofErr w:type="spellStart"/>
      <w:r w:rsidR="005B605A" w:rsidRPr="00474548">
        <w:rPr>
          <w:sz w:val="22"/>
          <w:szCs w:val="22"/>
          <w:lang w:val="en-US"/>
        </w:rPr>
        <w:t>Malaguti</w:t>
      </w:r>
      <w:proofErr w:type="spellEnd"/>
      <w:r w:rsidR="005B605A" w:rsidRPr="00474548">
        <w:rPr>
          <w:sz w:val="22"/>
          <w:szCs w:val="22"/>
          <w:lang w:val="en-US"/>
        </w:rPr>
        <w:t xml:space="preserve">, 2009), </w:t>
      </w:r>
      <w:r w:rsidR="00EF4A61" w:rsidRPr="00474548">
        <w:rPr>
          <w:sz w:val="22"/>
          <w:szCs w:val="22"/>
          <w:lang w:val="en-US"/>
        </w:rPr>
        <w:t xml:space="preserve">governed by </w:t>
      </w:r>
      <w:r w:rsidR="005B605A" w:rsidRPr="00474548">
        <w:rPr>
          <w:sz w:val="22"/>
          <w:szCs w:val="22"/>
          <w:lang w:val="en-US"/>
        </w:rPr>
        <w:t xml:space="preserve">a sector restructuring process, especially through the National Privatization Plan (PND, Plano </w:t>
      </w:r>
      <w:proofErr w:type="spellStart"/>
      <w:r w:rsidR="005B605A" w:rsidRPr="00474548">
        <w:rPr>
          <w:sz w:val="22"/>
          <w:szCs w:val="22"/>
          <w:lang w:val="en-US"/>
        </w:rPr>
        <w:t>Nacional</w:t>
      </w:r>
      <w:proofErr w:type="spellEnd"/>
      <w:r w:rsidR="005B605A" w:rsidRPr="00474548">
        <w:rPr>
          <w:sz w:val="22"/>
          <w:szCs w:val="22"/>
          <w:lang w:val="en-US"/>
        </w:rPr>
        <w:t xml:space="preserve"> de </w:t>
      </w:r>
      <w:proofErr w:type="spellStart"/>
      <w:r w:rsidR="005B605A" w:rsidRPr="00474548">
        <w:rPr>
          <w:sz w:val="22"/>
          <w:szCs w:val="22"/>
          <w:lang w:val="en-US"/>
        </w:rPr>
        <w:t>Desestatização</w:t>
      </w:r>
      <w:proofErr w:type="spellEnd"/>
      <w:r w:rsidR="005B605A" w:rsidRPr="00474548">
        <w:rPr>
          <w:sz w:val="22"/>
          <w:szCs w:val="22"/>
          <w:lang w:val="en-US"/>
        </w:rPr>
        <w:t xml:space="preserve">). However, the free market policy adopted in the period </w:t>
      </w:r>
      <w:r w:rsidRPr="00474548">
        <w:rPr>
          <w:sz w:val="22"/>
          <w:szCs w:val="22"/>
          <w:lang w:val="en-US"/>
        </w:rPr>
        <w:t>“</w:t>
      </w:r>
      <w:r w:rsidR="005B605A" w:rsidRPr="00474548">
        <w:rPr>
          <w:sz w:val="22"/>
          <w:szCs w:val="22"/>
          <w:lang w:val="en-US"/>
        </w:rPr>
        <w:t>was inefficient and led to electricity rationing in 2001 and 2002</w:t>
      </w:r>
      <w:r w:rsidRPr="00474548">
        <w:rPr>
          <w:sz w:val="22"/>
          <w:szCs w:val="22"/>
          <w:lang w:val="en-US"/>
        </w:rPr>
        <w:t>”</w:t>
      </w:r>
      <w:r w:rsidR="005B605A" w:rsidRPr="00474548">
        <w:rPr>
          <w:color w:val="292526"/>
          <w:kern w:val="0"/>
          <w:sz w:val="22"/>
          <w:szCs w:val="22"/>
          <w:lang w:val="en-US"/>
        </w:rPr>
        <w:t xml:space="preserve"> (</w:t>
      </w:r>
      <w:proofErr w:type="spellStart"/>
      <w:r w:rsidR="005B605A" w:rsidRPr="00474548">
        <w:rPr>
          <w:sz w:val="22"/>
          <w:szCs w:val="22"/>
          <w:lang w:val="en-US"/>
        </w:rPr>
        <w:t>Siffert</w:t>
      </w:r>
      <w:proofErr w:type="spellEnd"/>
      <w:r w:rsidR="005B605A" w:rsidRPr="00474548">
        <w:rPr>
          <w:sz w:val="22"/>
          <w:szCs w:val="22"/>
          <w:lang w:val="en-US"/>
        </w:rPr>
        <w:t xml:space="preserve"> </w:t>
      </w:r>
      <w:proofErr w:type="spellStart"/>
      <w:r w:rsidR="005B605A" w:rsidRPr="00474548">
        <w:rPr>
          <w:sz w:val="22"/>
          <w:szCs w:val="22"/>
          <w:lang w:val="en-US"/>
        </w:rPr>
        <w:t>Filho</w:t>
      </w:r>
      <w:proofErr w:type="spellEnd"/>
      <w:r w:rsidR="005B605A" w:rsidRPr="00474548">
        <w:rPr>
          <w:sz w:val="22"/>
          <w:szCs w:val="22"/>
          <w:lang w:val="en-US"/>
        </w:rPr>
        <w:t xml:space="preserve"> et al.</w:t>
      </w:r>
      <w:r w:rsidR="005B605A" w:rsidRPr="00474548">
        <w:rPr>
          <w:i/>
          <w:sz w:val="22"/>
          <w:szCs w:val="22"/>
          <w:lang w:val="en-US"/>
        </w:rPr>
        <w:t xml:space="preserve">, </w:t>
      </w:r>
      <w:r w:rsidR="005B605A" w:rsidRPr="00474548">
        <w:rPr>
          <w:sz w:val="22"/>
          <w:szCs w:val="22"/>
          <w:lang w:val="en-US"/>
        </w:rPr>
        <w:t>2009)</w:t>
      </w:r>
      <w:r w:rsidR="005B605A" w:rsidRPr="00474548">
        <w:rPr>
          <w:color w:val="292526"/>
          <w:kern w:val="0"/>
          <w:sz w:val="22"/>
          <w:szCs w:val="22"/>
          <w:lang w:val="en-US"/>
        </w:rPr>
        <w:t xml:space="preserve">. </w:t>
      </w:r>
    </w:p>
    <w:p w14:paraId="09E2C327" w14:textId="7B0ACD55" w:rsidR="007820DE" w:rsidRPr="00474548" w:rsidRDefault="00F26CB3" w:rsidP="008E6F8E">
      <w:pPr>
        <w:widowControl/>
        <w:suppressAutoHyphens w:val="0"/>
        <w:autoSpaceDE w:val="0"/>
        <w:autoSpaceDN w:val="0"/>
        <w:adjustRightInd w:val="0"/>
        <w:ind w:firstLine="709"/>
        <w:jc w:val="both"/>
        <w:rPr>
          <w:sz w:val="22"/>
          <w:szCs w:val="22"/>
          <w:lang w:val="en-US"/>
        </w:rPr>
      </w:pPr>
      <w:r w:rsidRPr="00474548">
        <w:rPr>
          <w:color w:val="292526"/>
          <w:kern w:val="0"/>
          <w:sz w:val="22"/>
          <w:szCs w:val="22"/>
          <w:lang w:val="en-US"/>
        </w:rPr>
        <w:t xml:space="preserve">With </w:t>
      </w:r>
      <w:r w:rsidR="005B605A" w:rsidRPr="00474548">
        <w:rPr>
          <w:color w:val="292526"/>
          <w:kern w:val="0"/>
          <w:sz w:val="22"/>
          <w:szCs w:val="22"/>
          <w:lang w:val="en-US"/>
        </w:rPr>
        <w:t xml:space="preserve">the </w:t>
      </w:r>
      <w:r w:rsidRPr="00474548">
        <w:rPr>
          <w:color w:val="292526"/>
          <w:kern w:val="0"/>
          <w:sz w:val="22"/>
          <w:szCs w:val="22"/>
          <w:lang w:val="en-US"/>
        </w:rPr>
        <w:t xml:space="preserve">establishment of the </w:t>
      </w:r>
      <w:r w:rsidR="00B10E75" w:rsidRPr="00474548">
        <w:rPr>
          <w:color w:val="292526"/>
          <w:kern w:val="0"/>
          <w:sz w:val="22"/>
          <w:szCs w:val="22"/>
          <w:lang w:val="en-US"/>
        </w:rPr>
        <w:t>r</w:t>
      </w:r>
      <w:r w:rsidR="005B605A" w:rsidRPr="00474548">
        <w:rPr>
          <w:color w:val="292526"/>
          <w:kern w:val="0"/>
          <w:sz w:val="22"/>
          <w:szCs w:val="22"/>
          <w:lang w:val="en-US"/>
        </w:rPr>
        <w:t xml:space="preserve">egulatory </w:t>
      </w:r>
      <w:r w:rsidR="00B10E75" w:rsidRPr="00474548">
        <w:rPr>
          <w:color w:val="292526"/>
          <w:kern w:val="0"/>
          <w:sz w:val="22"/>
          <w:szCs w:val="22"/>
          <w:lang w:val="en-US"/>
        </w:rPr>
        <w:t>f</w:t>
      </w:r>
      <w:r w:rsidR="005B605A" w:rsidRPr="00474548">
        <w:rPr>
          <w:color w:val="292526"/>
          <w:kern w:val="0"/>
          <w:sz w:val="22"/>
          <w:szCs w:val="22"/>
          <w:lang w:val="en-US"/>
        </w:rPr>
        <w:t xml:space="preserve">ramework in 2004, the State </w:t>
      </w:r>
      <w:r w:rsidRPr="00474548">
        <w:rPr>
          <w:color w:val="292526"/>
          <w:kern w:val="0"/>
          <w:sz w:val="22"/>
          <w:szCs w:val="22"/>
          <w:lang w:val="en-US"/>
        </w:rPr>
        <w:t xml:space="preserve">again </w:t>
      </w:r>
      <w:r w:rsidR="005B605A" w:rsidRPr="00474548">
        <w:rPr>
          <w:color w:val="292526"/>
          <w:kern w:val="0"/>
          <w:sz w:val="22"/>
          <w:szCs w:val="22"/>
          <w:lang w:val="en-US"/>
        </w:rPr>
        <w:t>assume</w:t>
      </w:r>
      <w:r w:rsidRPr="00474548">
        <w:rPr>
          <w:color w:val="292526"/>
          <w:kern w:val="0"/>
          <w:sz w:val="22"/>
          <w:szCs w:val="22"/>
          <w:lang w:val="en-US"/>
        </w:rPr>
        <w:t>d</w:t>
      </w:r>
      <w:r w:rsidR="005B605A" w:rsidRPr="00474548">
        <w:rPr>
          <w:color w:val="292526"/>
          <w:kern w:val="0"/>
          <w:sz w:val="22"/>
          <w:szCs w:val="22"/>
          <w:lang w:val="en-US"/>
        </w:rPr>
        <w:t xml:space="preserve"> an important role in </w:t>
      </w:r>
      <w:r w:rsidRPr="00474548">
        <w:rPr>
          <w:color w:val="292526"/>
          <w:kern w:val="0"/>
          <w:sz w:val="22"/>
          <w:szCs w:val="22"/>
          <w:lang w:val="en-US"/>
        </w:rPr>
        <w:t xml:space="preserve">the </w:t>
      </w:r>
      <w:r w:rsidR="005B605A" w:rsidRPr="00474548">
        <w:rPr>
          <w:color w:val="292526"/>
          <w:kern w:val="0"/>
          <w:sz w:val="22"/>
          <w:szCs w:val="22"/>
          <w:lang w:val="en-US"/>
        </w:rPr>
        <w:t xml:space="preserve">long-term planning of the sector. </w:t>
      </w:r>
      <w:r w:rsidR="005B605A" w:rsidRPr="00474548">
        <w:rPr>
          <w:sz w:val="22"/>
          <w:szCs w:val="22"/>
          <w:lang w:val="en-US"/>
        </w:rPr>
        <w:t xml:space="preserve">Currently public policies and guidelines relating to the electricity market are the </w:t>
      </w:r>
      <w:r w:rsidRPr="00474548">
        <w:rPr>
          <w:sz w:val="22"/>
          <w:szCs w:val="22"/>
          <w:lang w:val="en-US"/>
        </w:rPr>
        <w:t xml:space="preserve">responsibility of the </w:t>
      </w:r>
      <w:r w:rsidR="00B10E75" w:rsidRPr="00474548">
        <w:rPr>
          <w:sz w:val="22"/>
          <w:szCs w:val="22"/>
          <w:lang w:val="en-US"/>
        </w:rPr>
        <w:t>f</w:t>
      </w:r>
      <w:r w:rsidR="005B605A" w:rsidRPr="00474548">
        <w:rPr>
          <w:sz w:val="22"/>
          <w:szCs w:val="22"/>
          <w:lang w:val="en-US"/>
        </w:rPr>
        <w:t xml:space="preserve">ederal </w:t>
      </w:r>
      <w:r w:rsidR="00B10E75" w:rsidRPr="00474548">
        <w:rPr>
          <w:sz w:val="22"/>
          <w:szCs w:val="22"/>
          <w:lang w:val="en-US"/>
        </w:rPr>
        <w:t>e</w:t>
      </w:r>
      <w:r w:rsidR="005B605A" w:rsidRPr="00474548">
        <w:rPr>
          <w:sz w:val="22"/>
          <w:szCs w:val="22"/>
          <w:lang w:val="en-US"/>
        </w:rPr>
        <w:t xml:space="preserve">xecutive </w:t>
      </w:r>
      <w:r w:rsidR="00B10E75" w:rsidRPr="00474548">
        <w:rPr>
          <w:sz w:val="22"/>
          <w:szCs w:val="22"/>
          <w:lang w:val="en-US"/>
        </w:rPr>
        <w:t>b</w:t>
      </w:r>
      <w:r w:rsidR="005B605A" w:rsidRPr="00474548">
        <w:rPr>
          <w:sz w:val="22"/>
          <w:szCs w:val="22"/>
          <w:lang w:val="en-US"/>
        </w:rPr>
        <w:t xml:space="preserve">ranch, through the Ministry of Mines and Energy and the National Congress, acting through Provisional Measures (MP, </w:t>
      </w:r>
      <w:proofErr w:type="spellStart"/>
      <w:r w:rsidR="005B605A" w:rsidRPr="00474548">
        <w:rPr>
          <w:sz w:val="22"/>
          <w:szCs w:val="22"/>
          <w:lang w:val="en-US"/>
        </w:rPr>
        <w:t>Medidas</w:t>
      </w:r>
      <w:proofErr w:type="spellEnd"/>
      <w:r w:rsidR="005B605A" w:rsidRPr="00474548">
        <w:rPr>
          <w:sz w:val="22"/>
          <w:szCs w:val="22"/>
          <w:lang w:val="en-US"/>
        </w:rPr>
        <w:t xml:space="preserve"> </w:t>
      </w:r>
      <w:proofErr w:type="spellStart"/>
      <w:r w:rsidR="005B605A" w:rsidRPr="00474548">
        <w:rPr>
          <w:sz w:val="22"/>
          <w:szCs w:val="22"/>
          <w:lang w:val="en-US"/>
        </w:rPr>
        <w:t>Provisórias</w:t>
      </w:r>
      <w:proofErr w:type="spellEnd"/>
      <w:r w:rsidR="005B605A" w:rsidRPr="00474548">
        <w:rPr>
          <w:sz w:val="22"/>
          <w:szCs w:val="22"/>
          <w:lang w:val="en-US"/>
        </w:rPr>
        <w:t xml:space="preserve">) and Laws. The </w:t>
      </w:r>
      <w:r w:rsidRPr="00474548">
        <w:rPr>
          <w:sz w:val="22"/>
          <w:szCs w:val="22"/>
          <w:lang w:val="en-US"/>
        </w:rPr>
        <w:t>r</w:t>
      </w:r>
      <w:r w:rsidR="005B605A" w:rsidRPr="00474548">
        <w:rPr>
          <w:sz w:val="22"/>
          <w:szCs w:val="22"/>
          <w:lang w:val="en-US"/>
        </w:rPr>
        <w:t xml:space="preserve">egulation and </w:t>
      </w:r>
      <w:r w:rsidRPr="00474548">
        <w:rPr>
          <w:sz w:val="22"/>
          <w:szCs w:val="22"/>
          <w:lang w:val="en-US"/>
        </w:rPr>
        <w:t>s</w:t>
      </w:r>
      <w:r w:rsidR="005B605A" w:rsidRPr="00474548">
        <w:rPr>
          <w:sz w:val="22"/>
          <w:szCs w:val="22"/>
          <w:lang w:val="en-US"/>
        </w:rPr>
        <w:t xml:space="preserve">upervision of the </w:t>
      </w:r>
      <w:r w:rsidRPr="00474548">
        <w:rPr>
          <w:sz w:val="22"/>
          <w:szCs w:val="22"/>
          <w:lang w:val="en-US"/>
        </w:rPr>
        <w:t xml:space="preserve">federal government’s </w:t>
      </w:r>
      <w:r w:rsidR="005B605A" w:rsidRPr="00474548">
        <w:rPr>
          <w:sz w:val="22"/>
          <w:szCs w:val="22"/>
          <w:lang w:val="en-US"/>
        </w:rPr>
        <w:t xml:space="preserve">policies and guidelines are </w:t>
      </w:r>
      <w:r w:rsidRPr="00474548">
        <w:rPr>
          <w:sz w:val="22"/>
          <w:szCs w:val="22"/>
          <w:lang w:val="en-US"/>
        </w:rPr>
        <w:t xml:space="preserve">controlled </w:t>
      </w:r>
      <w:r w:rsidR="005B605A" w:rsidRPr="00474548">
        <w:rPr>
          <w:sz w:val="22"/>
          <w:szCs w:val="22"/>
          <w:lang w:val="en-US"/>
        </w:rPr>
        <w:t xml:space="preserve">by the National Electric Energy Agency (ANEEL, </w:t>
      </w:r>
      <w:proofErr w:type="spellStart"/>
      <w:r w:rsidR="005B605A" w:rsidRPr="00474548">
        <w:rPr>
          <w:sz w:val="22"/>
          <w:szCs w:val="22"/>
          <w:lang w:val="en-US"/>
        </w:rPr>
        <w:t>Agência</w:t>
      </w:r>
      <w:proofErr w:type="spellEnd"/>
      <w:r w:rsidR="005B605A" w:rsidRPr="00474548">
        <w:rPr>
          <w:sz w:val="22"/>
          <w:szCs w:val="22"/>
          <w:lang w:val="en-US"/>
        </w:rPr>
        <w:t xml:space="preserve"> </w:t>
      </w:r>
      <w:proofErr w:type="spellStart"/>
      <w:r w:rsidR="005B605A" w:rsidRPr="00474548">
        <w:rPr>
          <w:sz w:val="22"/>
          <w:szCs w:val="22"/>
          <w:lang w:val="en-US"/>
        </w:rPr>
        <w:t>Nacional</w:t>
      </w:r>
      <w:proofErr w:type="spellEnd"/>
      <w:r w:rsidR="005B605A" w:rsidRPr="00474548">
        <w:rPr>
          <w:sz w:val="22"/>
          <w:szCs w:val="22"/>
          <w:lang w:val="en-US"/>
        </w:rPr>
        <w:t xml:space="preserve"> de </w:t>
      </w:r>
      <w:proofErr w:type="spellStart"/>
      <w:r w:rsidR="005B605A" w:rsidRPr="00474548">
        <w:rPr>
          <w:sz w:val="22"/>
          <w:szCs w:val="22"/>
          <w:lang w:val="en-US"/>
        </w:rPr>
        <w:t>Energia</w:t>
      </w:r>
      <w:proofErr w:type="spellEnd"/>
      <w:r w:rsidR="005B605A" w:rsidRPr="00474548">
        <w:rPr>
          <w:sz w:val="22"/>
          <w:szCs w:val="22"/>
          <w:lang w:val="en-US"/>
        </w:rPr>
        <w:t xml:space="preserve"> </w:t>
      </w:r>
      <w:proofErr w:type="spellStart"/>
      <w:r w:rsidR="005B605A" w:rsidRPr="00474548">
        <w:rPr>
          <w:sz w:val="22"/>
          <w:szCs w:val="22"/>
          <w:lang w:val="en-US"/>
        </w:rPr>
        <w:t>Elétrica</w:t>
      </w:r>
      <w:proofErr w:type="spellEnd"/>
      <w:r w:rsidR="005B605A" w:rsidRPr="00474548">
        <w:rPr>
          <w:sz w:val="22"/>
          <w:szCs w:val="22"/>
          <w:lang w:val="en-US"/>
        </w:rPr>
        <w:t xml:space="preserve">), established in December 1996 as </w:t>
      </w:r>
      <w:r w:rsidR="00D06A87" w:rsidRPr="00474548">
        <w:rPr>
          <w:sz w:val="22"/>
          <w:szCs w:val="22"/>
          <w:lang w:val="en-US"/>
        </w:rPr>
        <w:t xml:space="preserve">an </w:t>
      </w:r>
      <w:r w:rsidR="00B10E75" w:rsidRPr="00474548">
        <w:rPr>
          <w:sz w:val="22"/>
          <w:szCs w:val="22"/>
          <w:lang w:val="en-US"/>
        </w:rPr>
        <w:t>independent regulatory authority for the electricity sector</w:t>
      </w:r>
      <w:r w:rsidR="005B605A" w:rsidRPr="00474548">
        <w:rPr>
          <w:sz w:val="22"/>
          <w:szCs w:val="22"/>
          <w:lang w:val="en-US"/>
        </w:rPr>
        <w:t xml:space="preserve">. </w:t>
      </w:r>
    </w:p>
    <w:p w14:paraId="5573030F" w14:textId="45E3E1DD" w:rsidR="00BA0F12" w:rsidRPr="00474548" w:rsidRDefault="00BA0F12" w:rsidP="00FC75F3">
      <w:pPr>
        <w:widowControl/>
        <w:suppressAutoHyphens w:val="0"/>
        <w:autoSpaceDE w:val="0"/>
        <w:autoSpaceDN w:val="0"/>
        <w:adjustRightInd w:val="0"/>
        <w:ind w:firstLine="709"/>
        <w:jc w:val="both"/>
        <w:rPr>
          <w:sz w:val="22"/>
          <w:szCs w:val="22"/>
          <w:lang w:val="en-US"/>
        </w:rPr>
      </w:pPr>
      <w:r w:rsidRPr="00474548">
        <w:rPr>
          <w:sz w:val="22"/>
          <w:szCs w:val="22"/>
          <w:lang w:val="en-US"/>
        </w:rPr>
        <w:t>The aim of this study is not to evaluate the successes of</w:t>
      </w:r>
      <w:r w:rsidR="00B10E75" w:rsidRPr="00474548">
        <w:rPr>
          <w:sz w:val="22"/>
          <w:szCs w:val="22"/>
          <w:lang w:val="en-US"/>
        </w:rPr>
        <w:t xml:space="preserve"> any</w:t>
      </w:r>
      <w:r w:rsidRPr="00474548">
        <w:rPr>
          <w:sz w:val="22"/>
          <w:szCs w:val="22"/>
          <w:lang w:val="en-US"/>
        </w:rPr>
        <w:t xml:space="preserve"> government, often counterbalanced by its many errors, or vice versa. It is difficult to build a critical </w:t>
      </w:r>
      <w:r w:rsidR="00D06A87" w:rsidRPr="00474548">
        <w:rPr>
          <w:sz w:val="22"/>
          <w:szCs w:val="22"/>
          <w:lang w:val="en-US"/>
        </w:rPr>
        <w:t xml:space="preserve">perspective </w:t>
      </w:r>
      <w:r w:rsidRPr="00474548">
        <w:rPr>
          <w:sz w:val="22"/>
          <w:szCs w:val="22"/>
          <w:lang w:val="en-US"/>
        </w:rPr>
        <w:t xml:space="preserve">based on the historical position of the government </w:t>
      </w:r>
      <w:r w:rsidR="00E55F79" w:rsidRPr="00474548">
        <w:rPr>
          <w:sz w:val="22"/>
          <w:szCs w:val="22"/>
          <w:lang w:val="en-US"/>
        </w:rPr>
        <w:t xml:space="preserve">seeking </w:t>
      </w:r>
      <w:r w:rsidRPr="00474548">
        <w:rPr>
          <w:sz w:val="22"/>
          <w:szCs w:val="22"/>
          <w:lang w:val="en-US"/>
        </w:rPr>
        <w:t>to balance the development of MP, laws</w:t>
      </w:r>
      <w:r w:rsidR="00C87BFF" w:rsidRPr="00474548">
        <w:rPr>
          <w:sz w:val="22"/>
          <w:szCs w:val="22"/>
          <w:lang w:val="en-US"/>
        </w:rPr>
        <w:t>,</w:t>
      </w:r>
      <w:r w:rsidRPr="00474548">
        <w:rPr>
          <w:sz w:val="22"/>
          <w:szCs w:val="22"/>
          <w:lang w:val="en-US"/>
        </w:rPr>
        <w:t xml:space="preserve"> and decrees that support the market of private investors in the power sector, especially when the</w:t>
      </w:r>
      <w:r w:rsidR="00C87BFF" w:rsidRPr="00474548">
        <w:rPr>
          <w:sz w:val="22"/>
          <w:szCs w:val="22"/>
          <w:lang w:val="en-US"/>
        </w:rPr>
        <w:t>ir</w:t>
      </w:r>
      <w:r w:rsidRPr="00474548">
        <w:rPr>
          <w:sz w:val="22"/>
          <w:szCs w:val="22"/>
          <w:lang w:val="en-US"/>
        </w:rPr>
        <w:t xml:space="preserve"> efficient functioning affects public interest and welfare.</w:t>
      </w:r>
    </w:p>
    <w:p w14:paraId="5BA5CE91" w14:textId="77777777" w:rsidR="00FC75F3" w:rsidRPr="00474548" w:rsidRDefault="00FC75F3" w:rsidP="00FC75F3">
      <w:pPr>
        <w:widowControl/>
        <w:suppressAutoHyphens w:val="0"/>
        <w:autoSpaceDE w:val="0"/>
        <w:autoSpaceDN w:val="0"/>
        <w:adjustRightInd w:val="0"/>
        <w:ind w:firstLine="709"/>
        <w:jc w:val="both"/>
        <w:rPr>
          <w:sz w:val="22"/>
          <w:szCs w:val="22"/>
          <w:lang w:val="en-US"/>
        </w:rPr>
      </w:pPr>
    </w:p>
    <w:p w14:paraId="15616381" w14:textId="77777777" w:rsidR="00FC75F3" w:rsidRPr="00474548" w:rsidRDefault="005B605A" w:rsidP="00FC75F3">
      <w:pPr>
        <w:pStyle w:val="Heading1"/>
        <w:numPr>
          <w:ilvl w:val="0"/>
          <w:numId w:val="0"/>
        </w:numPr>
        <w:spacing w:before="0" w:after="0"/>
        <w:rPr>
          <w:sz w:val="22"/>
          <w:szCs w:val="22"/>
          <w:lang w:val="en-US"/>
        </w:rPr>
      </w:pPr>
      <w:r w:rsidRPr="00474548">
        <w:rPr>
          <w:sz w:val="22"/>
          <w:szCs w:val="22"/>
          <w:lang w:val="en-US"/>
        </w:rPr>
        <w:t>3 METHODOLOGICAL PROCEDURES</w:t>
      </w:r>
      <w:bookmarkStart w:id="15" w:name="_Toc391473695"/>
    </w:p>
    <w:p w14:paraId="4C0F2200" w14:textId="5432FF90" w:rsidR="000B7B96" w:rsidRPr="00474548" w:rsidRDefault="00F32912" w:rsidP="00FC75F3">
      <w:pPr>
        <w:pStyle w:val="Heading1"/>
        <w:numPr>
          <w:ilvl w:val="0"/>
          <w:numId w:val="0"/>
        </w:numPr>
        <w:spacing w:before="0" w:after="0"/>
        <w:ind w:firstLine="720"/>
        <w:rPr>
          <w:sz w:val="22"/>
          <w:szCs w:val="22"/>
          <w:lang w:val="en-US"/>
        </w:rPr>
      </w:pPr>
      <w:r w:rsidRPr="00474548">
        <w:rPr>
          <w:rFonts w:eastAsiaTheme="minorEastAsia"/>
          <w:b w:val="0"/>
          <w:color w:val="000000" w:themeColor="text1"/>
          <w:kern w:val="0"/>
          <w:sz w:val="22"/>
          <w:szCs w:val="22"/>
          <w:lang w:val="en-US"/>
        </w:rPr>
        <w:t xml:space="preserve">The following subsections describe the rational and systematic procedure developed to provide an answer to the research question. </w:t>
      </w:r>
      <w:r w:rsidR="00661A3A" w:rsidRPr="00474548">
        <w:rPr>
          <w:rFonts w:eastAsiaTheme="minorEastAsia"/>
          <w:b w:val="0"/>
          <w:color w:val="000000" w:themeColor="text1"/>
          <w:kern w:val="0"/>
          <w:sz w:val="22"/>
          <w:szCs w:val="22"/>
          <w:lang w:val="en-US"/>
        </w:rPr>
        <w:t>First</w:t>
      </w:r>
      <w:r w:rsidRPr="00474548">
        <w:rPr>
          <w:rFonts w:eastAsiaTheme="minorEastAsia"/>
          <w:b w:val="0"/>
          <w:color w:val="000000" w:themeColor="text1"/>
          <w:kern w:val="0"/>
          <w:sz w:val="22"/>
          <w:szCs w:val="22"/>
          <w:lang w:val="en-US"/>
        </w:rPr>
        <w:t xml:space="preserve">, the </w:t>
      </w:r>
      <w:r w:rsidR="006956AE" w:rsidRPr="00474548">
        <w:rPr>
          <w:rFonts w:eastAsiaTheme="minorEastAsia"/>
          <w:b w:val="0"/>
          <w:color w:val="000000" w:themeColor="text1"/>
          <w:kern w:val="0"/>
          <w:sz w:val="22"/>
          <w:szCs w:val="22"/>
          <w:lang w:val="en-US"/>
        </w:rPr>
        <w:t>r</w:t>
      </w:r>
      <w:r w:rsidRPr="00474548">
        <w:rPr>
          <w:rFonts w:eastAsiaTheme="minorEastAsia"/>
          <w:b w:val="0"/>
          <w:color w:val="000000" w:themeColor="text1"/>
          <w:kern w:val="0"/>
          <w:sz w:val="22"/>
          <w:szCs w:val="22"/>
          <w:lang w:val="en-US"/>
        </w:rPr>
        <w:t xml:space="preserve">egulatory </w:t>
      </w:r>
      <w:r w:rsidR="006956AE" w:rsidRPr="00474548">
        <w:rPr>
          <w:rFonts w:eastAsiaTheme="minorEastAsia"/>
          <w:b w:val="0"/>
          <w:color w:val="000000" w:themeColor="text1"/>
          <w:kern w:val="0"/>
          <w:sz w:val="22"/>
          <w:szCs w:val="22"/>
          <w:lang w:val="en-US"/>
        </w:rPr>
        <w:t>l</w:t>
      </w:r>
      <w:r w:rsidRPr="00474548">
        <w:rPr>
          <w:rFonts w:eastAsiaTheme="minorEastAsia"/>
          <w:b w:val="0"/>
          <w:color w:val="000000" w:themeColor="text1"/>
          <w:kern w:val="0"/>
          <w:sz w:val="22"/>
          <w:szCs w:val="22"/>
          <w:lang w:val="en-US"/>
        </w:rPr>
        <w:t xml:space="preserve">aw addressed to the Brazilian </w:t>
      </w:r>
      <w:r w:rsidRPr="00474548">
        <w:rPr>
          <w:rFonts w:eastAsiaTheme="minorEastAsia"/>
          <w:b w:val="0"/>
          <w:color w:val="000000" w:themeColor="text1"/>
          <w:kern w:val="0"/>
          <w:sz w:val="22"/>
          <w:szCs w:val="22"/>
          <w:lang w:val="en-US"/>
        </w:rPr>
        <w:lastRenderedPageBreak/>
        <w:t xml:space="preserve">electricity sector </w:t>
      </w:r>
      <w:r w:rsidR="00B9165B" w:rsidRPr="00474548">
        <w:rPr>
          <w:rFonts w:eastAsiaTheme="minorEastAsia"/>
          <w:b w:val="0"/>
          <w:color w:val="000000" w:themeColor="text1"/>
          <w:kern w:val="0"/>
          <w:sz w:val="22"/>
          <w:szCs w:val="22"/>
          <w:lang w:val="en-US"/>
        </w:rPr>
        <w:t xml:space="preserve">will be described </w:t>
      </w:r>
      <w:r w:rsidRPr="00474548">
        <w:rPr>
          <w:rFonts w:eastAsiaTheme="minorEastAsia"/>
          <w:b w:val="0"/>
          <w:color w:val="000000" w:themeColor="text1"/>
          <w:kern w:val="0"/>
          <w:sz w:val="22"/>
          <w:szCs w:val="22"/>
          <w:lang w:val="en-US"/>
        </w:rPr>
        <w:t xml:space="preserve">and, </w:t>
      </w:r>
      <w:r w:rsidR="00661A3A" w:rsidRPr="00474548">
        <w:rPr>
          <w:rFonts w:eastAsiaTheme="minorEastAsia"/>
          <w:b w:val="0"/>
          <w:color w:val="000000" w:themeColor="text1"/>
          <w:kern w:val="0"/>
          <w:sz w:val="22"/>
          <w:szCs w:val="22"/>
          <w:lang w:val="en-US"/>
        </w:rPr>
        <w:t>subsequently</w:t>
      </w:r>
      <w:r w:rsidRPr="00474548">
        <w:rPr>
          <w:rFonts w:eastAsiaTheme="minorEastAsia"/>
          <w:b w:val="0"/>
          <w:color w:val="000000" w:themeColor="text1"/>
          <w:kern w:val="0"/>
          <w:sz w:val="22"/>
          <w:szCs w:val="22"/>
          <w:lang w:val="en-US"/>
        </w:rPr>
        <w:t>, the inquiry and research theoretical model</w:t>
      </w:r>
      <w:r w:rsidR="00661A3A" w:rsidRPr="00474548">
        <w:rPr>
          <w:rFonts w:eastAsiaTheme="minorEastAsia"/>
          <w:b w:val="0"/>
          <w:color w:val="000000" w:themeColor="text1"/>
          <w:kern w:val="0"/>
          <w:sz w:val="22"/>
          <w:szCs w:val="22"/>
          <w:lang w:val="en-US"/>
        </w:rPr>
        <w:t xml:space="preserve"> will be discussed</w:t>
      </w:r>
      <w:r w:rsidRPr="00474548">
        <w:rPr>
          <w:rFonts w:eastAsiaTheme="minorEastAsia"/>
          <w:b w:val="0"/>
          <w:color w:val="000000" w:themeColor="text1"/>
          <w:kern w:val="0"/>
          <w:sz w:val="22"/>
          <w:szCs w:val="22"/>
          <w:lang w:val="en-US"/>
        </w:rPr>
        <w:t>.</w:t>
      </w:r>
      <w:r w:rsidRPr="00474548">
        <w:rPr>
          <w:rFonts w:eastAsiaTheme="minorEastAsia"/>
          <w:color w:val="000000" w:themeColor="text1"/>
          <w:kern w:val="0"/>
          <w:sz w:val="22"/>
          <w:szCs w:val="22"/>
          <w:lang w:val="en-US"/>
        </w:rPr>
        <w:t xml:space="preserve"> </w:t>
      </w:r>
      <w:r w:rsidRPr="00474548">
        <w:rPr>
          <w:rFonts w:eastAsiaTheme="minorEastAsia"/>
          <w:b w:val="0"/>
          <w:color w:val="000000" w:themeColor="text1"/>
          <w:kern w:val="0"/>
          <w:sz w:val="22"/>
          <w:szCs w:val="22"/>
          <w:lang w:val="en-US"/>
        </w:rPr>
        <w:t xml:space="preserve">The methodology used regarding the </w:t>
      </w:r>
      <w:r w:rsidR="00661A3A" w:rsidRPr="00474548">
        <w:rPr>
          <w:rFonts w:eastAsiaTheme="minorEastAsia"/>
          <w:b w:val="0"/>
          <w:color w:val="000000" w:themeColor="text1"/>
          <w:kern w:val="0"/>
          <w:sz w:val="22"/>
          <w:szCs w:val="22"/>
          <w:lang w:val="en-US"/>
        </w:rPr>
        <w:t xml:space="preserve">said objectives </w:t>
      </w:r>
      <w:r w:rsidRPr="00474548">
        <w:rPr>
          <w:rFonts w:eastAsiaTheme="minorEastAsia"/>
          <w:b w:val="0"/>
          <w:color w:val="000000" w:themeColor="text1"/>
          <w:kern w:val="0"/>
          <w:sz w:val="22"/>
          <w:szCs w:val="22"/>
          <w:lang w:val="en-US"/>
        </w:rPr>
        <w:t xml:space="preserve">is descriptive. </w:t>
      </w:r>
      <w:r w:rsidR="00B10E75" w:rsidRPr="00474548">
        <w:rPr>
          <w:rFonts w:eastAsiaTheme="minorEastAsia"/>
          <w:b w:val="0"/>
          <w:color w:val="000000" w:themeColor="text1"/>
          <w:kern w:val="0"/>
          <w:sz w:val="22"/>
          <w:szCs w:val="22"/>
          <w:lang w:val="en-US"/>
        </w:rPr>
        <w:t>T</w:t>
      </w:r>
      <w:r w:rsidRPr="00474548">
        <w:rPr>
          <w:rFonts w:eastAsiaTheme="minorEastAsia"/>
          <w:b w:val="0"/>
          <w:color w:val="000000" w:themeColor="text1"/>
          <w:kern w:val="0"/>
          <w:sz w:val="22"/>
          <w:szCs w:val="22"/>
          <w:lang w:val="en-US"/>
        </w:rPr>
        <w:t>he procedures</w:t>
      </w:r>
      <w:r w:rsidR="00B9165B" w:rsidRPr="00474548">
        <w:rPr>
          <w:rFonts w:eastAsiaTheme="minorEastAsia"/>
          <w:b w:val="0"/>
          <w:color w:val="000000" w:themeColor="text1"/>
          <w:kern w:val="0"/>
          <w:sz w:val="22"/>
          <w:szCs w:val="22"/>
          <w:lang w:val="en-US"/>
        </w:rPr>
        <w:t xml:space="preserve"> are</w:t>
      </w:r>
      <w:r w:rsidRPr="00474548">
        <w:rPr>
          <w:rFonts w:eastAsiaTheme="minorEastAsia"/>
          <w:b w:val="0"/>
          <w:color w:val="000000" w:themeColor="text1"/>
          <w:kern w:val="0"/>
          <w:sz w:val="22"/>
          <w:szCs w:val="22"/>
          <w:lang w:val="en-US"/>
        </w:rPr>
        <w:t xml:space="preserve"> classified as bibliographic and documentary. The approach is quantitative </w:t>
      </w:r>
      <w:r w:rsidR="00B9165B" w:rsidRPr="00474548">
        <w:rPr>
          <w:rFonts w:eastAsiaTheme="minorEastAsia"/>
          <w:b w:val="0"/>
          <w:color w:val="000000" w:themeColor="text1"/>
          <w:kern w:val="0"/>
          <w:sz w:val="22"/>
          <w:szCs w:val="22"/>
          <w:lang w:val="en-US"/>
        </w:rPr>
        <w:t xml:space="preserve">with </w:t>
      </w:r>
      <w:r w:rsidRPr="00474548">
        <w:rPr>
          <w:rFonts w:eastAsiaTheme="minorEastAsia"/>
          <w:b w:val="0"/>
          <w:color w:val="000000" w:themeColor="text1"/>
          <w:kern w:val="0"/>
          <w:sz w:val="22"/>
          <w:szCs w:val="22"/>
          <w:lang w:val="en-US"/>
        </w:rPr>
        <w:t xml:space="preserve">sectional temporal cut </w:t>
      </w:r>
      <w:r w:rsidR="00B9165B" w:rsidRPr="00474548">
        <w:rPr>
          <w:rFonts w:eastAsiaTheme="minorEastAsia"/>
          <w:b w:val="0"/>
          <w:color w:val="000000" w:themeColor="text1"/>
          <w:kern w:val="0"/>
          <w:sz w:val="22"/>
          <w:szCs w:val="22"/>
          <w:lang w:val="en-US"/>
        </w:rPr>
        <w:t xml:space="preserve">and </w:t>
      </w:r>
      <w:r w:rsidRPr="00474548">
        <w:rPr>
          <w:rFonts w:eastAsiaTheme="minorEastAsia"/>
          <w:b w:val="0"/>
          <w:color w:val="000000" w:themeColor="text1"/>
          <w:kern w:val="0"/>
          <w:sz w:val="22"/>
          <w:szCs w:val="22"/>
          <w:lang w:val="en-US"/>
        </w:rPr>
        <w:t xml:space="preserve">longitudinal evaluation. </w:t>
      </w:r>
    </w:p>
    <w:p w14:paraId="028E8F1B" w14:textId="77777777" w:rsidR="00C84B80" w:rsidRPr="00474548" w:rsidRDefault="00C84B80" w:rsidP="008E6F8E">
      <w:pPr>
        <w:pStyle w:val="Subtitle"/>
        <w:rPr>
          <w:rFonts w:ascii="Times New Roman" w:hAnsi="Times New Roman"/>
          <w:b/>
          <w:color w:val="000000" w:themeColor="text1"/>
          <w:sz w:val="22"/>
          <w:szCs w:val="22"/>
          <w:lang w:val="en-US"/>
        </w:rPr>
      </w:pPr>
    </w:p>
    <w:p w14:paraId="5C38BF01" w14:textId="061D99B2" w:rsidR="005B605A" w:rsidRPr="00474548" w:rsidRDefault="005B605A" w:rsidP="008E6F8E">
      <w:pPr>
        <w:pStyle w:val="Subtitle"/>
        <w:rPr>
          <w:rFonts w:ascii="Times New Roman" w:hAnsi="Times New Roman"/>
          <w:b/>
          <w:sz w:val="22"/>
          <w:szCs w:val="22"/>
          <w:lang w:val="en-US"/>
        </w:rPr>
      </w:pPr>
      <w:r w:rsidRPr="00474548">
        <w:rPr>
          <w:rFonts w:ascii="Times New Roman" w:hAnsi="Times New Roman"/>
          <w:b/>
          <w:sz w:val="22"/>
          <w:szCs w:val="22"/>
          <w:lang w:val="en-US"/>
        </w:rPr>
        <w:t xml:space="preserve">3.1 </w:t>
      </w:r>
      <w:r w:rsidR="00661A3A" w:rsidRPr="00474548">
        <w:rPr>
          <w:rFonts w:ascii="Times New Roman" w:hAnsi="Times New Roman"/>
          <w:b/>
          <w:sz w:val="22"/>
          <w:szCs w:val="22"/>
          <w:lang w:val="en-US"/>
        </w:rPr>
        <w:t>Analyzed</w:t>
      </w:r>
      <w:r w:rsidRPr="00474548">
        <w:rPr>
          <w:rFonts w:ascii="Times New Roman" w:hAnsi="Times New Roman"/>
          <w:b/>
          <w:sz w:val="22"/>
          <w:szCs w:val="22"/>
          <w:lang w:val="en-US"/>
        </w:rPr>
        <w:t xml:space="preserve"> </w:t>
      </w:r>
      <w:bookmarkEnd w:id="15"/>
      <w:r w:rsidR="001F5B4D" w:rsidRPr="00474548">
        <w:rPr>
          <w:rFonts w:ascii="Times New Roman" w:hAnsi="Times New Roman"/>
          <w:b/>
          <w:sz w:val="22"/>
          <w:szCs w:val="22"/>
          <w:lang w:val="en-US"/>
        </w:rPr>
        <w:t>Regulatory Legislation</w:t>
      </w:r>
    </w:p>
    <w:p w14:paraId="38AA4BEE" w14:textId="2DCFE7E3" w:rsidR="004430CF" w:rsidRPr="00474548" w:rsidRDefault="005B605A" w:rsidP="00F54CA0">
      <w:pPr>
        <w:pStyle w:val="NormalWeb"/>
        <w:shd w:val="clear" w:color="auto" w:fill="FFFFFF"/>
        <w:spacing w:before="0" w:beforeAutospacing="0" w:after="0" w:afterAutospacing="0"/>
        <w:ind w:firstLine="709"/>
        <w:jc w:val="both"/>
        <w:rPr>
          <w:sz w:val="22"/>
          <w:szCs w:val="22"/>
          <w:lang w:val="en-US"/>
        </w:rPr>
      </w:pPr>
      <w:r w:rsidRPr="00474548">
        <w:rPr>
          <w:sz w:val="22"/>
          <w:szCs w:val="22"/>
          <w:lang w:val="en-US"/>
        </w:rPr>
        <w:t xml:space="preserve">The </w:t>
      </w:r>
      <w:r w:rsidR="00A42173" w:rsidRPr="00474548">
        <w:rPr>
          <w:sz w:val="22"/>
          <w:szCs w:val="22"/>
          <w:lang w:val="en-US"/>
        </w:rPr>
        <w:t>r</w:t>
      </w:r>
      <w:r w:rsidRPr="00474548">
        <w:rPr>
          <w:sz w:val="22"/>
          <w:szCs w:val="22"/>
          <w:lang w:val="en-US"/>
        </w:rPr>
        <w:t xml:space="preserve">egulatory </w:t>
      </w:r>
      <w:r w:rsidR="00A42173" w:rsidRPr="00474548">
        <w:rPr>
          <w:sz w:val="22"/>
          <w:szCs w:val="22"/>
          <w:lang w:val="en-US"/>
        </w:rPr>
        <w:t>l</w:t>
      </w:r>
      <w:r w:rsidRPr="00474548">
        <w:rPr>
          <w:sz w:val="22"/>
          <w:szCs w:val="22"/>
          <w:lang w:val="en-US"/>
        </w:rPr>
        <w:t xml:space="preserve">egislation addressed to the Brazilian </w:t>
      </w:r>
      <w:r w:rsidR="00A42173" w:rsidRPr="00474548">
        <w:rPr>
          <w:sz w:val="22"/>
          <w:szCs w:val="22"/>
          <w:lang w:val="en-US"/>
        </w:rPr>
        <w:t>e</w:t>
      </w:r>
      <w:r w:rsidRPr="00474548">
        <w:rPr>
          <w:sz w:val="22"/>
          <w:szCs w:val="22"/>
          <w:lang w:val="en-US"/>
        </w:rPr>
        <w:t xml:space="preserve">lectricity </w:t>
      </w:r>
      <w:r w:rsidR="00A42173" w:rsidRPr="00474548">
        <w:rPr>
          <w:sz w:val="22"/>
          <w:szCs w:val="22"/>
          <w:lang w:val="en-US"/>
        </w:rPr>
        <w:t>m</w:t>
      </w:r>
      <w:r w:rsidRPr="00474548">
        <w:rPr>
          <w:sz w:val="22"/>
          <w:szCs w:val="22"/>
          <w:lang w:val="en-US"/>
        </w:rPr>
        <w:t xml:space="preserve">arket was captured and selected by means of Markov Regime </w:t>
      </w:r>
      <w:r w:rsidR="00B9165B" w:rsidRPr="00474548">
        <w:rPr>
          <w:sz w:val="22"/>
          <w:szCs w:val="22"/>
          <w:lang w:val="en-US"/>
        </w:rPr>
        <w:t xml:space="preserve">Switching </w:t>
      </w:r>
      <w:r w:rsidRPr="00474548">
        <w:rPr>
          <w:sz w:val="22"/>
          <w:szCs w:val="22"/>
          <w:lang w:val="en-US"/>
        </w:rPr>
        <w:t>or Markov Regimes</w:t>
      </w:r>
      <w:r w:rsidR="00B9165B" w:rsidRPr="00474548">
        <w:rPr>
          <w:sz w:val="22"/>
          <w:szCs w:val="22"/>
          <w:lang w:val="en-US"/>
        </w:rPr>
        <w:t>. This</w:t>
      </w:r>
      <w:r w:rsidRPr="00474548">
        <w:rPr>
          <w:sz w:val="22"/>
          <w:szCs w:val="22"/>
          <w:lang w:val="en-US"/>
        </w:rPr>
        <w:t xml:space="preserve"> is a classic stochastic process</w:t>
      </w:r>
      <w:r w:rsidR="00B9165B" w:rsidRPr="00474548">
        <w:rPr>
          <w:sz w:val="22"/>
          <w:szCs w:val="22"/>
          <w:lang w:val="en-US"/>
        </w:rPr>
        <w:t xml:space="preserve"> in which</w:t>
      </w:r>
      <w:r w:rsidRPr="00474548">
        <w:rPr>
          <w:sz w:val="22"/>
          <w:szCs w:val="22"/>
          <w:lang w:val="en-US"/>
        </w:rPr>
        <w:t xml:space="preserve"> the random variable </w:t>
      </w:r>
      <w:r w:rsidR="000024F5" w:rsidRPr="00474548">
        <w:rPr>
          <w:i/>
          <w:sz w:val="22"/>
          <w:szCs w:val="22"/>
          <w:lang w:val="en-US"/>
        </w:rPr>
        <w:t>X</w:t>
      </w:r>
      <w:r w:rsidR="000024F5" w:rsidRPr="00474548">
        <w:rPr>
          <w:sz w:val="22"/>
          <w:szCs w:val="22"/>
          <w:lang w:val="en-US"/>
        </w:rPr>
        <w:t xml:space="preserve"> </w:t>
      </w:r>
      <w:r w:rsidRPr="00474548">
        <w:rPr>
          <w:sz w:val="22"/>
          <w:szCs w:val="22"/>
          <w:lang w:val="en-US"/>
        </w:rPr>
        <w:t>has a particular relationship of dependence in time (</w:t>
      </w:r>
      <w:proofErr w:type="spellStart"/>
      <w:r w:rsidRPr="00474548">
        <w:rPr>
          <w:sz w:val="22"/>
          <w:szCs w:val="22"/>
          <w:lang w:val="en-US"/>
        </w:rPr>
        <w:t>Morais</w:t>
      </w:r>
      <w:proofErr w:type="spellEnd"/>
      <w:r w:rsidRPr="00474548">
        <w:rPr>
          <w:sz w:val="22"/>
          <w:szCs w:val="22"/>
          <w:lang w:val="en-US"/>
        </w:rPr>
        <w:t xml:space="preserve">, 2003). Markov Regimes </w:t>
      </w:r>
      <w:r w:rsidR="00A42173" w:rsidRPr="00474548">
        <w:rPr>
          <w:sz w:val="22"/>
          <w:szCs w:val="22"/>
          <w:lang w:val="en-US"/>
        </w:rPr>
        <w:t xml:space="preserve">involve multiple structures (equations) that can </w:t>
      </w:r>
      <w:r w:rsidRPr="00474548">
        <w:rPr>
          <w:sz w:val="22"/>
          <w:szCs w:val="22"/>
          <w:lang w:val="en-US"/>
        </w:rPr>
        <w:t>characteriz</w:t>
      </w:r>
      <w:r w:rsidR="00A42173" w:rsidRPr="00474548">
        <w:rPr>
          <w:sz w:val="22"/>
          <w:szCs w:val="22"/>
          <w:lang w:val="en-US"/>
        </w:rPr>
        <w:t>e</w:t>
      </w:r>
      <w:r w:rsidRPr="00474548">
        <w:rPr>
          <w:sz w:val="22"/>
          <w:szCs w:val="22"/>
          <w:lang w:val="en-US"/>
        </w:rPr>
        <w:t xml:space="preserve"> a time series by the change of the average and/or variance of the regression residues</w:t>
      </w:r>
      <w:r w:rsidR="00A42173" w:rsidRPr="00474548">
        <w:rPr>
          <w:sz w:val="22"/>
          <w:szCs w:val="22"/>
          <w:lang w:val="en-US"/>
        </w:rPr>
        <w:t>. This</w:t>
      </w:r>
      <w:r w:rsidRPr="00474548">
        <w:rPr>
          <w:sz w:val="22"/>
          <w:szCs w:val="22"/>
          <w:lang w:val="en-US"/>
        </w:rPr>
        <w:t xml:space="preserve"> allows </w:t>
      </w:r>
      <w:r w:rsidR="001F5B4D" w:rsidRPr="00474548">
        <w:rPr>
          <w:sz w:val="22"/>
          <w:szCs w:val="22"/>
          <w:lang w:val="en-US"/>
        </w:rPr>
        <w:t>identifying</w:t>
      </w:r>
      <w:r w:rsidRPr="00474548">
        <w:rPr>
          <w:sz w:val="22"/>
          <w:szCs w:val="22"/>
          <w:lang w:val="en-US"/>
        </w:rPr>
        <w:t xml:space="preserve"> the date </w:t>
      </w:r>
      <w:r w:rsidR="00B9165B" w:rsidRPr="00474548">
        <w:rPr>
          <w:sz w:val="22"/>
          <w:szCs w:val="22"/>
          <w:lang w:val="en-US"/>
        </w:rPr>
        <w:t xml:space="preserve">on </w:t>
      </w:r>
      <w:r w:rsidRPr="00474548">
        <w:rPr>
          <w:sz w:val="22"/>
          <w:szCs w:val="22"/>
          <w:lang w:val="en-US"/>
        </w:rPr>
        <w:t>which structural breaks occur and capture the regulatory events that would be associated with these breaks, as well as the</w:t>
      </w:r>
      <w:r w:rsidR="003730FD" w:rsidRPr="00474548">
        <w:rPr>
          <w:sz w:val="22"/>
          <w:szCs w:val="22"/>
          <w:lang w:val="en-US"/>
        </w:rPr>
        <w:t>ir</w:t>
      </w:r>
      <w:r w:rsidRPr="00474548">
        <w:rPr>
          <w:sz w:val="22"/>
          <w:szCs w:val="22"/>
          <w:lang w:val="en-US"/>
        </w:rPr>
        <w:t xml:space="preserve"> </w:t>
      </w:r>
      <w:r w:rsidR="00A42173" w:rsidRPr="00474548">
        <w:rPr>
          <w:sz w:val="22"/>
          <w:szCs w:val="22"/>
          <w:lang w:val="en-US"/>
        </w:rPr>
        <w:t>industry-</w:t>
      </w:r>
      <w:r w:rsidRPr="00474548">
        <w:rPr>
          <w:sz w:val="22"/>
          <w:szCs w:val="22"/>
          <w:lang w:val="en-US"/>
        </w:rPr>
        <w:t xml:space="preserve">specific impacts. </w:t>
      </w:r>
    </w:p>
    <w:p w14:paraId="5E1FB7DD" w14:textId="77777777" w:rsidR="00B61621" w:rsidRPr="00474548" w:rsidRDefault="005B605A" w:rsidP="00B61621">
      <w:pPr>
        <w:pStyle w:val="ListParagraph"/>
        <w:ind w:left="0" w:firstLine="709"/>
        <w:jc w:val="both"/>
        <w:rPr>
          <w:sz w:val="22"/>
          <w:szCs w:val="22"/>
          <w:lang w:val="en-US"/>
        </w:rPr>
      </w:pPr>
      <w:r w:rsidRPr="00474548">
        <w:rPr>
          <w:sz w:val="22"/>
          <w:szCs w:val="22"/>
          <w:lang w:val="en-US"/>
        </w:rPr>
        <w:t xml:space="preserve">The test </w:t>
      </w:r>
      <w:r w:rsidR="00B9165B" w:rsidRPr="00474548">
        <w:rPr>
          <w:sz w:val="22"/>
          <w:szCs w:val="22"/>
          <w:lang w:val="en-US"/>
        </w:rPr>
        <w:t xml:space="preserve">of </w:t>
      </w:r>
      <w:r w:rsidRPr="00474548">
        <w:rPr>
          <w:sz w:val="22"/>
          <w:szCs w:val="22"/>
          <w:lang w:val="en-US"/>
        </w:rPr>
        <w:t xml:space="preserve">the Markov Regimes, as well as the estimates of other </w:t>
      </w:r>
      <w:r w:rsidR="006956AE" w:rsidRPr="00474548">
        <w:rPr>
          <w:sz w:val="22"/>
          <w:szCs w:val="22"/>
          <w:lang w:val="en-US"/>
        </w:rPr>
        <w:t>m</w:t>
      </w:r>
      <w:r w:rsidRPr="00474548">
        <w:rPr>
          <w:sz w:val="22"/>
          <w:szCs w:val="22"/>
          <w:lang w:val="en-US"/>
        </w:rPr>
        <w:t xml:space="preserve">odels, were </w:t>
      </w:r>
      <w:r w:rsidR="006956AE" w:rsidRPr="00474548">
        <w:rPr>
          <w:sz w:val="22"/>
          <w:szCs w:val="22"/>
          <w:lang w:val="en-US"/>
        </w:rPr>
        <w:t xml:space="preserve">done through </w:t>
      </w:r>
      <w:r w:rsidRPr="00474548">
        <w:rPr>
          <w:sz w:val="22"/>
          <w:szCs w:val="22"/>
          <w:lang w:val="en-US"/>
        </w:rPr>
        <w:t>CAPM, according to the following model:</w:t>
      </w:r>
    </w:p>
    <w:p w14:paraId="2E685D65" w14:textId="77777777" w:rsidR="00B61621" w:rsidRPr="00474548" w:rsidRDefault="00B61621" w:rsidP="00B61621">
      <w:pPr>
        <w:pStyle w:val="ListParagraph"/>
        <w:ind w:left="0" w:firstLine="709"/>
        <w:jc w:val="both"/>
        <w:rPr>
          <w:sz w:val="22"/>
          <w:szCs w:val="22"/>
          <w:lang w:val="en-US"/>
        </w:rPr>
      </w:pPr>
    </w:p>
    <w:p w14:paraId="20B502C5" w14:textId="01DD706E" w:rsidR="005B605A" w:rsidRPr="00474548" w:rsidRDefault="00BB2864" w:rsidP="00B61621">
      <w:pPr>
        <w:pStyle w:val="ListParagraph"/>
        <w:ind w:left="0" w:firstLine="709"/>
        <w:jc w:val="both"/>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RIEE</m:t>
            </m:r>
          </m:e>
          <m:sub>
            <m:r>
              <w:rPr>
                <w:rFonts w:ascii="Cambria Math" w:hAnsi="Cambria Math"/>
                <w:sz w:val="22"/>
                <w:szCs w:val="22"/>
                <w:lang w:val="en-US"/>
              </w:rPr>
              <m:t>t</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α</m:t>
            </m:r>
          </m:e>
          <m:sub>
            <m:r>
              <w:rPr>
                <w:rFonts w:ascii="Cambria Math" w:hAnsi="Cambria Math"/>
                <w:sz w:val="22"/>
                <w:szCs w:val="22"/>
                <w:lang w:val="en-US"/>
              </w:rPr>
              <m:t>i</m:t>
            </m:r>
          </m:sub>
        </m:sSub>
        <m:r>
          <w:rPr>
            <w:rFonts w:ascii="Cambria Math" w:hAnsi="Cambria Math"/>
            <w:sz w:val="22"/>
            <w:szCs w:val="22"/>
            <w:lang w:val="en-US"/>
          </w:rPr>
          <m:t xml:space="preserve"> + β.</m:t>
        </m:r>
        <m:sSub>
          <m:sSubPr>
            <m:ctrlPr>
              <w:rPr>
                <w:rFonts w:ascii="Cambria Math" w:hAnsi="Cambria Math"/>
                <w:i/>
                <w:sz w:val="22"/>
                <w:szCs w:val="22"/>
                <w:lang w:val="en-US"/>
              </w:rPr>
            </m:ctrlPr>
          </m:sSubPr>
          <m:e>
            <m:r>
              <w:rPr>
                <w:rFonts w:ascii="Cambria Math" w:hAnsi="Cambria Math"/>
                <w:sz w:val="22"/>
                <w:szCs w:val="22"/>
                <w:lang w:val="en-US"/>
              </w:rPr>
              <m:t>RIBOV</m:t>
            </m:r>
          </m:e>
          <m:sub>
            <m:r>
              <w:rPr>
                <w:rFonts w:ascii="Cambria Math" w:hAnsi="Cambria Math"/>
                <w:sz w:val="22"/>
                <w:szCs w:val="22"/>
                <w:lang w:val="en-US"/>
              </w:rPr>
              <m:t>t</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t</m:t>
            </m:r>
          </m:sub>
        </m:sSub>
      </m:oMath>
      <w:r w:rsidR="00B21DDD" w:rsidRPr="00474548">
        <w:rPr>
          <w:sz w:val="22"/>
          <w:szCs w:val="22"/>
          <w:lang w:val="en-US"/>
        </w:rPr>
        <w:t>,</w:t>
      </w:r>
      <w:r w:rsidR="009E7C81" w:rsidRPr="00474548">
        <w:rPr>
          <w:sz w:val="22"/>
          <w:szCs w:val="22"/>
          <w:lang w:val="en-US"/>
        </w:rPr>
        <w:tab/>
      </w:r>
      <w:r w:rsidR="009E7C81" w:rsidRPr="00474548">
        <w:rPr>
          <w:sz w:val="22"/>
          <w:szCs w:val="22"/>
          <w:lang w:val="en-US"/>
        </w:rPr>
        <w:tab/>
      </w:r>
      <w:r w:rsidR="009E7C81" w:rsidRPr="00474548">
        <w:rPr>
          <w:sz w:val="22"/>
          <w:szCs w:val="22"/>
          <w:lang w:val="en-US"/>
        </w:rPr>
        <w:tab/>
      </w:r>
      <w:r w:rsidR="009E7C81" w:rsidRPr="00474548">
        <w:rPr>
          <w:sz w:val="22"/>
          <w:szCs w:val="22"/>
          <w:lang w:val="en-US"/>
        </w:rPr>
        <w:tab/>
      </w:r>
      <w:r w:rsidR="009E7C81" w:rsidRPr="00474548">
        <w:rPr>
          <w:sz w:val="22"/>
          <w:szCs w:val="22"/>
          <w:lang w:val="en-US"/>
        </w:rPr>
        <w:tab/>
      </w:r>
      <w:r w:rsidR="009E7C81" w:rsidRPr="00474548">
        <w:rPr>
          <w:sz w:val="22"/>
          <w:szCs w:val="22"/>
          <w:lang w:val="en-US"/>
        </w:rPr>
        <w:tab/>
      </w:r>
      <w:r w:rsidR="00F54CA0" w:rsidRPr="00474548">
        <w:rPr>
          <w:sz w:val="22"/>
          <w:szCs w:val="22"/>
          <w:lang w:val="en-US"/>
        </w:rPr>
        <w:t xml:space="preserve">                            </w:t>
      </w:r>
      <w:r w:rsidR="00B21DDD" w:rsidRPr="00474548">
        <w:rPr>
          <w:sz w:val="22"/>
          <w:szCs w:val="22"/>
          <w:lang w:val="en-US"/>
        </w:rPr>
        <w:t>(4)</w:t>
      </w:r>
    </w:p>
    <w:p w14:paraId="5B380C84" w14:textId="1BFFB992" w:rsidR="005B605A" w:rsidRPr="00474548" w:rsidRDefault="005B605A" w:rsidP="008E6F8E">
      <w:pPr>
        <w:tabs>
          <w:tab w:val="left" w:pos="5710"/>
        </w:tabs>
        <w:ind w:firstLine="709"/>
        <w:rPr>
          <w:sz w:val="22"/>
          <w:szCs w:val="22"/>
          <w:lang w:val="en-US"/>
        </w:rPr>
      </w:pPr>
      <w:r w:rsidRPr="00474548">
        <w:rPr>
          <w:sz w:val="22"/>
          <w:szCs w:val="22"/>
          <w:lang w:val="en-US"/>
        </w:rPr>
        <w:tab/>
      </w:r>
      <w:r w:rsidR="00F54CA0" w:rsidRPr="00474548">
        <w:rPr>
          <w:sz w:val="22"/>
          <w:szCs w:val="22"/>
          <w:lang w:val="en-US"/>
        </w:rPr>
        <w:t xml:space="preserve">   </w:t>
      </w:r>
    </w:p>
    <w:p w14:paraId="104512B3" w14:textId="67D97BDF" w:rsidR="005B605A" w:rsidRPr="00474548" w:rsidRDefault="006956AE" w:rsidP="008E6F8E">
      <w:pPr>
        <w:tabs>
          <w:tab w:val="left" w:pos="5710"/>
        </w:tabs>
        <w:jc w:val="both"/>
        <w:rPr>
          <w:sz w:val="22"/>
          <w:szCs w:val="22"/>
          <w:lang w:val="en-US"/>
        </w:rPr>
      </w:pPr>
      <w:proofErr w:type="gramStart"/>
      <w:r w:rsidRPr="00474548">
        <w:rPr>
          <w:sz w:val="22"/>
          <w:szCs w:val="22"/>
          <w:lang w:val="en-US"/>
        </w:rPr>
        <w:t>w</w:t>
      </w:r>
      <w:r w:rsidR="00C84B80" w:rsidRPr="00474548">
        <w:rPr>
          <w:sz w:val="22"/>
          <w:szCs w:val="22"/>
          <w:lang w:val="en-US"/>
        </w:rPr>
        <w:t>here</w:t>
      </w:r>
      <w:proofErr w:type="gramEnd"/>
      <w:r w:rsidRPr="00474548">
        <w:rPr>
          <w:sz w:val="22"/>
          <w:szCs w:val="22"/>
          <w:lang w:val="en-US"/>
        </w:rPr>
        <w:t>,</w:t>
      </w:r>
      <w:r w:rsidR="00C84B80" w:rsidRPr="00474548">
        <w:rPr>
          <w:sz w:val="22"/>
          <w:szCs w:val="22"/>
          <w:lang w:val="en-US"/>
        </w:rPr>
        <w:t xml:space="preserve"> </w:t>
      </w:r>
      <m:oMath>
        <m:sSub>
          <m:sSubPr>
            <m:ctrlPr>
              <w:rPr>
                <w:rFonts w:ascii="Cambria Math" w:hAnsi="Cambria Math"/>
                <w:i/>
                <w:sz w:val="22"/>
                <w:szCs w:val="22"/>
                <w:lang w:val="en-US"/>
              </w:rPr>
            </m:ctrlPr>
          </m:sSubPr>
          <m:e>
            <m:r>
              <w:rPr>
                <w:rFonts w:ascii="Cambria Math" w:hAnsi="Cambria Math"/>
                <w:sz w:val="22"/>
                <w:szCs w:val="22"/>
                <w:lang w:val="en-US"/>
              </w:rPr>
              <m:t>RIEE</m:t>
            </m:r>
          </m:e>
          <m:sub>
            <m:r>
              <w:rPr>
                <w:rFonts w:ascii="Cambria Math" w:hAnsi="Cambria Math"/>
                <w:sz w:val="22"/>
                <w:szCs w:val="22"/>
                <w:lang w:val="en-US"/>
              </w:rPr>
              <m:t>t</m:t>
            </m:r>
          </m:sub>
        </m:sSub>
      </m:oMath>
      <w:r w:rsidR="00C84B80" w:rsidRPr="00474548">
        <w:rPr>
          <w:b/>
          <w:i/>
          <w:sz w:val="22"/>
          <w:szCs w:val="22"/>
          <w:lang w:val="en-US"/>
        </w:rPr>
        <w:t xml:space="preserve"> </w:t>
      </w:r>
      <w:r w:rsidR="00C84B80" w:rsidRPr="00474548">
        <w:rPr>
          <w:sz w:val="22"/>
          <w:szCs w:val="22"/>
          <w:lang w:val="en-US"/>
        </w:rPr>
        <w:t xml:space="preserve">represents the Electric Power Index (IEE) of the Brazilian market in time </w:t>
      </w:r>
      <w:r w:rsidR="00C84B80" w:rsidRPr="00474548">
        <w:rPr>
          <w:i/>
          <w:sz w:val="22"/>
          <w:szCs w:val="22"/>
          <w:lang w:val="en-US"/>
        </w:rPr>
        <w:t>t;</w:t>
      </w:r>
      <w:r w:rsidR="00C84B80" w:rsidRPr="00474548">
        <w:rPr>
          <w:sz w:val="22"/>
          <w:szCs w:val="22"/>
          <w:lang w:val="en-US"/>
        </w:rPr>
        <w:t xml:space="preserve"> </w:t>
      </w:r>
      <m:oMath>
        <m:sSub>
          <m:sSubPr>
            <m:ctrlPr>
              <w:rPr>
                <w:rFonts w:ascii="Cambria Math" w:hAnsi="Cambria Math"/>
                <w:i/>
                <w:sz w:val="22"/>
                <w:szCs w:val="22"/>
                <w:lang w:val="en-US"/>
              </w:rPr>
            </m:ctrlPr>
          </m:sSubPr>
          <m:e>
            <m:r>
              <w:rPr>
                <w:rFonts w:ascii="Cambria Math" w:hAnsi="Cambria Math"/>
                <w:sz w:val="22"/>
                <w:szCs w:val="22"/>
                <w:lang w:val="en-US"/>
              </w:rPr>
              <m:t>α</m:t>
            </m:r>
          </m:e>
          <m:sub>
            <m:r>
              <w:rPr>
                <w:rFonts w:ascii="Cambria Math" w:hAnsi="Cambria Math"/>
                <w:sz w:val="22"/>
                <w:szCs w:val="22"/>
                <w:lang w:val="en-US"/>
              </w:rPr>
              <m:t>i</m:t>
            </m:r>
          </m:sub>
        </m:sSub>
      </m:oMath>
      <w:r w:rsidR="00C84B80" w:rsidRPr="00474548">
        <w:rPr>
          <w:sz w:val="22"/>
          <w:szCs w:val="22"/>
          <w:lang w:val="en-US"/>
        </w:rPr>
        <w:t xml:space="preserve"> is the </w:t>
      </w:r>
      <w:r w:rsidR="00C645E6" w:rsidRPr="00474548">
        <w:rPr>
          <w:sz w:val="22"/>
          <w:szCs w:val="22"/>
          <w:lang w:val="en-US"/>
        </w:rPr>
        <w:t>i</w:t>
      </w:r>
      <w:r w:rsidR="00C84B80" w:rsidRPr="00474548">
        <w:rPr>
          <w:sz w:val="22"/>
          <w:szCs w:val="22"/>
          <w:lang w:val="en-US"/>
        </w:rPr>
        <w:t>ntercept of the line corresponding to particular fac</w:t>
      </w:r>
      <w:r w:rsidR="00DA0684" w:rsidRPr="00474548">
        <w:rPr>
          <w:sz w:val="22"/>
          <w:szCs w:val="22"/>
          <w:lang w:val="en-US"/>
        </w:rPr>
        <w:t>tors of the electricity sector;</w:t>
      </w:r>
      <w:r w:rsidR="00C84B80" w:rsidRPr="00474548">
        <w:rPr>
          <w:b/>
          <w:i/>
          <w:sz w:val="22"/>
          <w:szCs w:val="22"/>
          <w:lang w:val="en-US"/>
        </w:rPr>
        <w:t xml:space="preserve"> </w:t>
      </w:r>
      <m:oMath>
        <m:r>
          <w:rPr>
            <w:rFonts w:ascii="Cambria Math" w:hAnsi="Cambria Math"/>
            <w:sz w:val="22"/>
            <w:szCs w:val="22"/>
            <w:lang w:val="en-US"/>
          </w:rPr>
          <m:t>β</m:t>
        </m:r>
      </m:oMath>
      <w:r w:rsidR="00C84B80" w:rsidRPr="00474548">
        <w:rPr>
          <w:sz w:val="22"/>
          <w:szCs w:val="22"/>
          <w:lang w:val="en-US"/>
        </w:rPr>
        <w:t xml:space="preserve"> is the </w:t>
      </w:r>
      <w:r w:rsidR="00C645E6" w:rsidRPr="00474548">
        <w:rPr>
          <w:sz w:val="22"/>
          <w:szCs w:val="22"/>
          <w:lang w:val="en-US"/>
        </w:rPr>
        <w:t>b</w:t>
      </w:r>
      <w:r w:rsidR="00C84B80" w:rsidRPr="00474548">
        <w:rPr>
          <w:sz w:val="22"/>
          <w:szCs w:val="22"/>
          <w:lang w:val="en-US"/>
        </w:rPr>
        <w:t xml:space="preserve">eta </w:t>
      </w:r>
      <w:r w:rsidR="00C645E6" w:rsidRPr="00474548">
        <w:rPr>
          <w:sz w:val="22"/>
          <w:szCs w:val="22"/>
          <w:lang w:val="en-US"/>
        </w:rPr>
        <w:t>c</w:t>
      </w:r>
      <w:r w:rsidR="00C84B80" w:rsidRPr="00474548">
        <w:rPr>
          <w:sz w:val="22"/>
          <w:szCs w:val="22"/>
          <w:lang w:val="en-US"/>
        </w:rPr>
        <w:t xml:space="preserve">oefficient; </w:t>
      </w:r>
      <m:oMath>
        <m:sSub>
          <m:sSubPr>
            <m:ctrlPr>
              <w:rPr>
                <w:rFonts w:ascii="Cambria Math" w:hAnsi="Cambria Math"/>
                <w:i/>
                <w:sz w:val="22"/>
                <w:szCs w:val="22"/>
                <w:lang w:val="en-US"/>
              </w:rPr>
            </m:ctrlPr>
          </m:sSubPr>
          <m:e>
            <m:r>
              <w:rPr>
                <w:rFonts w:ascii="Cambria Math" w:hAnsi="Cambria Math"/>
                <w:sz w:val="22"/>
                <w:szCs w:val="22"/>
                <w:lang w:val="en-US"/>
              </w:rPr>
              <m:t>RIBOV</m:t>
            </m:r>
          </m:e>
          <m:sub>
            <m:r>
              <w:rPr>
                <w:rFonts w:ascii="Cambria Math" w:hAnsi="Cambria Math"/>
                <w:sz w:val="22"/>
                <w:szCs w:val="22"/>
                <w:lang w:val="en-US"/>
              </w:rPr>
              <m:t>t</m:t>
            </m:r>
          </m:sub>
        </m:sSub>
      </m:oMath>
      <w:r w:rsidR="00C84B80" w:rsidRPr="00474548">
        <w:rPr>
          <w:sz w:val="22"/>
          <w:szCs w:val="22"/>
          <w:lang w:val="en-US"/>
        </w:rPr>
        <w:t xml:space="preserve"> represents </w:t>
      </w:r>
      <w:r w:rsidR="00C645E6" w:rsidRPr="00474548">
        <w:rPr>
          <w:sz w:val="22"/>
          <w:szCs w:val="22"/>
          <w:lang w:val="en-US"/>
        </w:rPr>
        <w:t xml:space="preserve">IBOVESPA </w:t>
      </w:r>
      <w:r w:rsidR="00C84B80" w:rsidRPr="00474548">
        <w:rPr>
          <w:sz w:val="22"/>
          <w:szCs w:val="22"/>
          <w:lang w:val="en-US"/>
        </w:rPr>
        <w:t xml:space="preserve">return; </w:t>
      </w:r>
      <m:oMath>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t</m:t>
            </m:r>
          </m:sub>
        </m:sSub>
      </m:oMath>
      <w:r w:rsidR="00C84B80" w:rsidRPr="00474548">
        <w:rPr>
          <w:sz w:val="22"/>
          <w:szCs w:val="22"/>
          <w:vertAlign w:val="subscript"/>
          <w:lang w:val="en-US"/>
        </w:rPr>
        <w:t xml:space="preserve"> </w:t>
      </w:r>
      <w:r w:rsidR="00C84B80" w:rsidRPr="00474548">
        <w:rPr>
          <w:sz w:val="22"/>
          <w:szCs w:val="22"/>
          <w:lang w:val="en-US"/>
        </w:rPr>
        <w:t xml:space="preserve">corresponds to an expected return equal to </w:t>
      </w:r>
      <w:r w:rsidR="00C84B80" w:rsidRPr="00474548">
        <w:rPr>
          <w:i/>
          <w:sz w:val="22"/>
          <w:szCs w:val="22"/>
          <w:lang w:val="en-US"/>
        </w:rPr>
        <w:t>zero</w:t>
      </w:r>
      <w:r w:rsidR="00C84B80" w:rsidRPr="00474548">
        <w:rPr>
          <w:sz w:val="22"/>
          <w:szCs w:val="22"/>
          <w:lang w:val="en-US"/>
        </w:rPr>
        <w:t xml:space="preserve">. This formulation allows </w:t>
      </w:r>
      <w:r w:rsidR="001F5B4D" w:rsidRPr="00474548">
        <w:rPr>
          <w:sz w:val="22"/>
          <w:szCs w:val="22"/>
          <w:lang w:val="en-US"/>
        </w:rPr>
        <w:t>segregating</w:t>
      </w:r>
      <w:r w:rsidR="00C84B80" w:rsidRPr="00474548">
        <w:rPr>
          <w:sz w:val="22"/>
          <w:szCs w:val="22"/>
          <w:lang w:val="en-US"/>
        </w:rPr>
        <w:t xml:space="preserve"> RIEE variations not shared with the global share </w:t>
      </w:r>
      <w:proofErr w:type="gramStart"/>
      <w:r w:rsidR="00C84B80" w:rsidRPr="00474548">
        <w:rPr>
          <w:sz w:val="22"/>
          <w:szCs w:val="22"/>
          <w:lang w:val="en-US"/>
        </w:rPr>
        <w:t>market, which are</w:t>
      </w:r>
      <w:proofErr w:type="gramEnd"/>
      <w:r w:rsidR="00C84B80" w:rsidRPr="00474548">
        <w:rPr>
          <w:sz w:val="22"/>
          <w:szCs w:val="22"/>
          <w:lang w:val="en-US"/>
        </w:rPr>
        <w:t xml:space="preserve"> then captured by the error term. </w:t>
      </w:r>
    </w:p>
    <w:p w14:paraId="2B6FBCD6" w14:textId="0B15144C" w:rsidR="00C94010" w:rsidRDefault="005B605A" w:rsidP="00474548">
      <w:pPr>
        <w:tabs>
          <w:tab w:val="left" w:pos="5710"/>
        </w:tabs>
        <w:ind w:firstLine="709"/>
        <w:jc w:val="both"/>
        <w:rPr>
          <w:sz w:val="22"/>
          <w:szCs w:val="22"/>
          <w:lang w:val="en-US"/>
        </w:rPr>
      </w:pPr>
      <w:r w:rsidRPr="00474548">
        <w:rPr>
          <w:sz w:val="22"/>
          <w:szCs w:val="22"/>
          <w:lang w:val="en-US"/>
        </w:rPr>
        <w:t xml:space="preserve">The dating by Markov Regimes was carried out with the help of the </w:t>
      </w:r>
      <w:proofErr w:type="spellStart"/>
      <w:r w:rsidRPr="00474548">
        <w:rPr>
          <w:i/>
          <w:sz w:val="22"/>
          <w:szCs w:val="22"/>
          <w:lang w:val="en-US"/>
        </w:rPr>
        <w:t>PcGive</w:t>
      </w:r>
      <w:proofErr w:type="spellEnd"/>
      <w:r w:rsidRPr="00474548">
        <w:rPr>
          <w:sz w:val="22"/>
          <w:szCs w:val="22"/>
          <w:lang w:val="en-US"/>
        </w:rPr>
        <w:t xml:space="preserve"> </w:t>
      </w:r>
      <w:r w:rsidR="00C645E6" w:rsidRPr="00474548">
        <w:rPr>
          <w:i/>
          <w:sz w:val="22"/>
          <w:szCs w:val="22"/>
          <w:lang w:val="en-US"/>
        </w:rPr>
        <w:t xml:space="preserve">Software </w:t>
      </w:r>
      <w:r w:rsidRPr="00474548">
        <w:rPr>
          <w:sz w:val="22"/>
          <w:szCs w:val="22"/>
          <w:lang w:val="en-US"/>
        </w:rPr>
        <w:t xml:space="preserve">through </w:t>
      </w:r>
      <w:proofErr w:type="spellStart"/>
      <w:r w:rsidRPr="00474548">
        <w:rPr>
          <w:i/>
          <w:sz w:val="22"/>
          <w:szCs w:val="22"/>
          <w:lang w:val="en-US"/>
        </w:rPr>
        <w:t>OxMetrics</w:t>
      </w:r>
      <w:proofErr w:type="spellEnd"/>
      <w:r w:rsidRPr="00474548">
        <w:rPr>
          <w:sz w:val="22"/>
          <w:szCs w:val="22"/>
          <w:lang w:val="en-US"/>
        </w:rPr>
        <w:t xml:space="preserve"> version 6.01. The sample period takes the IEE as </w:t>
      </w:r>
      <w:r w:rsidR="00B55B16" w:rsidRPr="00474548">
        <w:rPr>
          <w:sz w:val="22"/>
          <w:szCs w:val="22"/>
          <w:lang w:val="en-US"/>
        </w:rPr>
        <w:t xml:space="preserve">a </w:t>
      </w:r>
      <w:r w:rsidRPr="00474548">
        <w:rPr>
          <w:sz w:val="22"/>
          <w:szCs w:val="22"/>
          <w:lang w:val="en-US"/>
        </w:rPr>
        <w:t xml:space="preserve">parameter, calculated from </w:t>
      </w:r>
      <w:r w:rsidR="00C645E6" w:rsidRPr="00474548">
        <w:rPr>
          <w:sz w:val="22"/>
          <w:szCs w:val="22"/>
          <w:lang w:val="en-US"/>
        </w:rPr>
        <w:t xml:space="preserve">January </w:t>
      </w:r>
      <w:r w:rsidRPr="00474548">
        <w:rPr>
          <w:sz w:val="22"/>
          <w:szCs w:val="22"/>
          <w:lang w:val="en-US"/>
        </w:rPr>
        <w:t>01</w:t>
      </w:r>
      <w:r w:rsidR="00C645E6" w:rsidRPr="00474548">
        <w:rPr>
          <w:sz w:val="22"/>
          <w:szCs w:val="22"/>
          <w:lang w:val="en-US"/>
        </w:rPr>
        <w:t xml:space="preserve">, </w:t>
      </w:r>
      <w:r w:rsidRPr="00474548">
        <w:rPr>
          <w:sz w:val="22"/>
          <w:szCs w:val="22"/>
          <w:lang w:val="en-US"/>
        </w:rPr>
        <w:t xml:space="preserve">1995. Thus, of the 4,516 observations that make up the sample period from January 1995 to March 2013, 6 observations </w:t>
      </w:r>
      <w:r w:rsidR="00B9165B" w:rsidRPr="00474548">
        <w:rPr>
          <w:sz w:val="22"/>
          <w:szCs w:val="22"/>
          <w:lang w:val="en-US"/>
        </w:rPr>
        <w:t xml:space="preserve">were excluded </w:t>
      </w:r>
      <w:r w:rsidRPr="00474548">
        <w:rPr>
          <w:sz w:val="22"/>
          <w:szCs w:val="22"/>
          <w:lang w:val="en-US"/>
        </w:rPr>
        <w:t>with variations of more than two digits, representing atypical market disturbances</w:t>
      </w:r>
      <w:r w:rsidR="00B55B16" w:rsidRPr="00474548">
        <w:rPr>
          <w:sz w:val="22"/>
          <w:szCs w:val="22"/>
          <w:lang w:val="en-US"/>
        </w:rPr>
        <w:t>.</w:t>
      </w:r>
      <w:r w:rsidRPr="00474548">
        <w:rPr>
          <w:sz w:val="22"/>
          <w:szCs w:val="22"/>
          <w:lang w:val="en-US"/>
        </w:rPr>
        <w:t xml:space="preserve"> </w:t>
      </w:r>
      <w:r w:rsidR="00B55B16" w:rsidRPr="00474548">
        <w:rPr>
          <w:sz w:val="22"/>
          <w:szCs w:val="22"/>
          <w:lang w:val="en-US"/>
        </w:rPr>
        <w:t>O</w:t>
      </w:r>
      <w:r w:rsidRPr="00474548">
        <w:rPr>
          <w:sz w:val="22"/>
          <w:szCs w:val="22"/>
          <w:lang w:val="en-US"/>
        </w:rPr>
        <w:t xml:space="preserve">ne of them </w:t>
      </w:r>
      <w:r w:rsidR="00B55B16" w:rsidRPr="00474548">
        <w:rPr>
          <w:sz w:val="22"/>
          <w:szCs w:val="22"/>
          <w:lang w:val="en-US"/>
        </w:rPr>
        <w:t xml:space="preserve">belonged to the time of </w:t>
      </w:r>
      <w:r w:rsidRPr="00474548">
        <w:rPr>
          <w:sz w:val="22"/>
          <w:szCs w:val="22"/>
          <w:lang w:val="en-US"/>
        </w:rPr>
        <w:t>the currency crisis of January 1999</w:t>
      </w:r>
      <w:r w:rsidR="00B55B16" w:rsidRPr="00474548">
        <w:rPr>
          <w:sz w:val="22"/>
          <w:szCs w:val="22"/>
          <w:lang w:val="en-US"/>
        </w:rPr>
        <w:t>,</w:t>
      </w:r>
      <w:r w:rsidRPr="00474548">
        <w:rPr>
          <w:sz w:val="22"/>
          <w:szCs w:val="22"/>
          <w:lang w:val="en-US"/>
        </w:rPr>
        <w:t xml:space="preserve"> and the other </w:t>
      </w:r>
      <w:r w:rsidR="00CF1C31" w:rsidRPr="00474548">
        <w:rPr>
          <w:sz w:val="22"/>
          <w:szCs w:val="22"/>
          <w:lang w:val="en-US"/>
        </w:rPr>
        <w:t>five</w:t>
      </w:r>
      <w:r w:rsidRPr="00474548">
        <w:rPr>
          <w:sz w:val="22"/>
          <w:szCs w:val="22"/>
          <w:lang w:val="en-US"/>
        </w:rPr>
        <w:t xml:space="preserve"> </w:t>
      </w:r>
      <w:r w:rsidR="003730FD" w:rsidRPr="00474548">
        <w:rPr>
          <w:sz w:val="22"/>
          <w:szCs w:val="22"/>
          <w:lang w:val="en-US"/>
        </w:rPr>
        <w:t>could be traced</w:t>
      </w:r>
      <w:r w:rsidRPr="00474548">
        <w:rPr>
          <w:sz w:val="22"/>
          <w:szCs w:val="22"/>
          <w:lang w:val="en-US"/>
        </w:rPr>
        <w:t xml:space="preserve"> to the first indications of the blackout crisis, with the blackout </w:t>
      </w:r>
      <w:r w:rsidR="00B9165B" w:rsidRPr="00474548">
        <w:rPr>
          <w:sz w:val="22"/>
          <w:szCs w:val="22"/>
          <w:lang w:val="en-US"/>
        </w:rPr>
        <w:t xml:space="preserve">occurring </w:t>
      </w:r>
      <w:r w:rsidRPr="00474548">
        <w:rPr>
          <w:sz w:val="22"/>
          <w:szCs w:val="22"/>
          <w:lang w:val="en-US"/>
        </w:rPr>
        <w:t>in Brazil in March 1999. The estimation results of the Markov Regimes are shown in Table 1.</w:t>
      </w:r>
      <w:bookmarkStart w:id="16" w:name="_Toc391499584"/>
    </w:p>
    <w:p w14:paraId="03C4B348" w14:textId="77777777" w:rsidR="006E641C" w:rsidRPr="00474548" w:rsidRDefault="006E641C" w:rsidP="00474548">
      <w:pPr>
        <w:tabs>
          <w:tab w:val="left" w:pos="5710"/>
        </w:tabs>
        <w:ind w:firstLine="709"/>
        <w:jc w:val="both"/>
        <w:rPr>
          <w:sz w:val="22"/>
          <w:szCs w:val="22"/>
          <w:lang w:val="en-US"/>
        </w:rPr>
      </w:pPr>
    </w:p>
    <w:p w14:paraId="0B9117C2" w14:textId="026B0F56" w:rsidR="005B605A" w:rsidRPr="00474548" w:rsidRDefault="005B605A" w:rsidP="008E6F8E">
      <w:pPr>
        <w:pStyle w:val="Caption"/>
        <w:spacing w:after="0"/>
        <w:rPr>
          <w:b w:val="0"/>
          <w:color w:val="auto"/>
          <w:sz w:val="20"/>
          <w:szCs w:val="20"/>
          <w:lang w:val="en-US"/>
        </w:rPr>
      </w:pPr>
      <w:r w:rsidRPr="00474548">
        <w:rPr>
          <w:b w:val="0"/>
          <w:color w:val="auto"/>
          <w:sz w:val="20"/>
          <w:szCs w:val="20"/>
          <w:lang w:val="en-US"/>
        </w:rPr>
        <w:t>Table 1 - Estimation of Markov Regimes</w:t>
      </w:r>
      <w:bookmarkEnd w:id="16"/>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1534"/>
        <w:gridCol w:w="1729"/>
        <w:gridCol w:w="1729"/>
      </w:tblGrid>
      <w:tr w:rsidR="005B605A" w:rsidRPr="00474548" w14:paraId="3D631AB0" w14:textId="77777777" w:rsidTr="00B61621">
        <w:trPr>
          <w:jc w:val="center"/>
        </w:trPr>
        <w:tc>
          <w:tcPr>
            <w:tcW w:w="1526" w:type="dxa"/>
            <w:tcBorders>
              <w:top w:val="single" w:sz="4" w:space="0" w:color="auto"/>
              <w:bottom w:val="single" w:sz="4" w:space="0" w:color="auto"/>
            </w:tcBorders>
            <w:shd w:val="clear" w:color="auto" w:fill="D9D9D9" w:themeFill="background1" w:themeFillShade="D9"/>
          </w:tcPr>
          <w:p w14:paraId="58493123" w14:textId="77777777" w:rsidR="005B605A" w:rsidRPr="00474548" w:rsidRDefault="005B605A" w:rsidP="008E6F8E">
            <w:pPr>
              <w:tabs>
                <w:tab w:val="left" w:pos="5710"/>
              </w:tabs>
              <w:jc w:val="both"/>
              <w:rPr>
                <w:lang w:val="en-US"/>
              </w:rPr>
            </w:pPr>
          </w:p>
        </w:tc>
        <w:tc>
          <w:tcPr>
            <w:tcW w:w="2126" w:type="dxa"/>
            <w:tcBorders>
              <w:top w:val="single" w:sz="4" w:space="0" w:color="auto"/>
              <w:bottom w:val="single" w:sz="4" w:space="0" w:color="auto"/>
            </w:tcBorders>
            <w:shd w:val="clear" w:color="auto" w:fill="D9D9D9" w:themeFill="background1" w:themeFillShade="D9"/>
          </w:tcPr>
          <w:p w14:paraId="0AEEE662" w14:textId="60380A3E" w:rsidR="005B605A" w:rsidRPr="00474548" w:rsidRDefault="005B605A" w:rsidP="008E6F8E">
            <w:pPr>
              <w:tabs>
                <w:tab w:val="left" w:pos="5710"/>
              </w:tabs>
              <w:jc w:val="both"/>
              <w:rPr>
                <w:lang w:val="en-US"/>
              </w:rPr>
            </w:pPr>
            <w:r w:rsidRPr="00474548">
              <w:rPr>
                <w:lang w:val="en-US"/>
              </w:rPr>
              <w:t>Standard Coefficient</w:t>
            </w:r>
          </w:p>
        </w:tc>
        <w:tc>
          <w:tcPr>
            <w:tcW w:w="1534" w:type="dxa"/>
            <w:tcBorders>
              <w:top w:val="single" w:sz="4" w:space="0" w:color="auto"/>
              <w:bottom w:val="single" w:sz="4" w:space="0" w:color="auto"/>
            </w:tcBorders>
            <w:shd w:val="clear" w:color="auto" w:fill="D9D9D9" w:themeFill="background1" w:themeFillShade="D9"/>
          </w:tcPr>
          <w:p w14:paraId="0A08E8D7" w14:textId="77777777" w:rsidR="005B605A" w:rsidRPr="00474548" w:rsidRDefault="005B605A" w:rsidP="008E6F8E">
            <w:pPr>
              <w:tabs>
                <w:tab w:val="left" w:pos="5710"/>
              </w:tabs>
              <w:jc w:val="both"/>
              <w:rPr>
                <w:lang w:val="en-US"/>
              </w:rPr>
            </w:pPr>
            <w:r w:rsidRPr="00474548">
              <w:rPr>
                <w:lang w:val="en-US"/>
              </w:rPr>
              <w:t>Error</w:t>
            </w:r>
          </w:p>
        </w:tc>
        <w:tc>
          <w:tcPr>
            <w:tcW w:w="1729" w:type="dxa"/>
            <w:tcBorders>
              <w:top w:val="single" w:sz="4" w:space="0" w:color="auto"/>
              <w:bottom w:val="single" w:sz="4" w:space="0" w:color="auto"/>
            </w:tcBorders>
            <w:shd w:val="clear" w:color="auto" w:fill="D9D9D9" w:themeFill="background1" w:themeFillShade="D9"/>
          </w:tcPr>
          <w:p w14:paraId="12D92C2B" w14:textId="77777777" w:rsidR="005B605A" w:rsidRPr="00474548" w:rsidRDefault="005B605A" w:rsidP="008E6F8E">
            <w:pPr>
              <w:tabs>
                <w:tab w:val="left" w:pos="5710"/>
              </w:tabs>
              <w:jc w:val="both"/>
              <w:rPr>
                <w:i/>
                <w:lang w:val="en-US"/>
              </w:rPr>
            </w:pPr>
            <w:r w:rsidRPr="00474548">
              <w:rPr>
                <w:i/>
                <w:lang w:val="en-US"/>
              </w:rPr>
              <w:t xml:space="preserve">t </w:t>
            </w:r>
          </w:p>
        </w:tc>
        <w:tc>
          <w:tcPr>
            <w:tcW w:w="1729" w:type="dxa"/>
            <w:tcBorders>
              <w:top w:val="single" w:sz="4" w:space="0" w:color="auto"/>
              <w:bottom w:val="single" w:sz="4" w:space="0" w:color="auto"/>
            </w:tcBorders>
            <w:shd w:val="clear" w:color="auto" w:fill="D9D9D9" w:themeFill="background1" w:themeFillShade="D9"/>
          </w:tcPr>
          <w:p w14:paraId="3080199B" w14:textId="394DE364" w:rsidR="005B605A" w:rsidRPr="00474548" w:rsidRDefault="00247092" w:rsidP="008E6F8E">
            <w:pPr>
              <w:tabs>
                <w:tab w:val="left" w:pos="5710"/>
              </w:tabs>
              <w:jc w:val="both"/>
              <w:rPr>
                <w:lang w:val="en-US"/>
              </w:rPr>
            </w:pPr>
            <w:r w:rsidRPr="00474548">
              <w:rPr>
                <w:lang w:val="en-US"/>
              </w:rPr>
              <w:t>P</w:t>
            </w:r>
            <w:r w:rsidR="005B605A" w:rsidRPr="00474548">
              <w:rPr>
                <w:lang w:val="en-US"/>
              </w:rPr>
              <w:t>robability</w:t>
            </w:r>
          </w:p>
        </w:tc>
      </w:tr>
      <w:tr w:rsidR="005B605A" w:rsidRPr="00474548" w14:paraId="1A0A0F39" w14:textId="77777777" w:rsidTr="00B61621">
        <w:trPr>
          <w:jc w:val="center"/>
        </w:trPr>
        <w:tc>
          <w:tcPr>
            <w:tcW w:w="1526" w:type="dxa"/>
            <w:tcBorders>
              <w:top w:val="single" w:sz="4" w:space="0" w:color="auto"/>
            </w:tcBorders>
          </w:tcPr>
          <w:p w14:paraId="1E03A170" w14:textId="77777777" w:rsidR="005B605A" w:rsidRPr="00474548" w:rsidRDefault="005B605A" w:rsidP="008E6F8E">
            <w:pPr>
              <w:tabs>
                <w:tab w:val="left" w:pos="5710"/>
              </w:tabs>
              <w:jc w:val="both"/>
              <w:rPr>
                <w:lang w:val="en-US"/>
              </w:rPr>
            </w:pPr>
            <w:r w:rsidRPr="00474548">
              <w:rPr>
                <w:lang w:val="en-US"/>
              </w:rPr>
              <w:t>RIBOV</w:t>
            </w:r>
          </w:p>
        </w:tc>
        <w:tc>
          <w:tcPr>
            <w:tcW w:w="2126" w:type="dxa"/>
            <w:tcBorders>
              <w:top w:val="single" w:sz="4" w:space="0" w:color="auto"/>
            </w:tcBorders>
          </w:tcPr>
          <w:p w14:paraId="0C5514D1" w14:textId="60EDC89C" w:rsidR="005B605A" w:rsidRPr="00474548" w:rsidRDefault="005B605A" w:rsidP="008E6F8E">
            <w:pPr>
              <w:tabs>
                <w:tab w:val="left" w:pos="5710"/>
              </w:tabs>
              <w:jc w:val="both"/>
              <w:rPr>
                <w:lang w:val="en-US"/>
              </w:rPr>
            </w:pPr>
            <w:r w:rsidRPr="00474548">
              <w:rPr>
                <w:lang w:val="en-US"/>
              </w:rPr>
              <w:t xml:space="preserve">0.698953 </w:t>
            </w:r>
          </w:p>
        </w:tc>
        <w:tc>
          <w:tcPr>
            <w:tcW w:w="1534" w:type="dxa"/>
            <w:tcBorders>
              <w:top w:val="single" w:sz="4" w:space="0" w:color="auto"/>
            </w:tcBorders>
          </w:tcPr>
          <w:p w14:paraId="370C4236" w14:textId="1D360295" w:rsidR="005B605A" w:rsidRPr="00474548" w:rsidRDefault="005B605A" w:rsidP="008E6F8E">
            <w:pPr>
              <w:tabs>
                <w:tab w:val="left" w:pos="5710"/>
              </w:tabs>
              <w:jc w:val="both"/>
              <w:rPr>
                <w:lang w:val="en-US"/>
              </w:rPr>
            </w:pPr>
            <w:r w:rsidRPr="00474548">
              <w:rPr>
                <w:lang w:val="en-US"/>
              </w:rPr>
              <w:t>0.008405</w:t>
            </w:r>
          </w:p>
        </w:tc>
        <w:tc>
          <w:tcPr>
            <w:tcW w:w="1729" w:type="dxa"/>
            <w:tcBorders>
              <w:top w:val="single" w:sz="4" w:space="0" w:color="auto"/>
            </w:tcBorders>
          </w:tcPr>
          <w:p w14:paraId="6C54D281" w14:textId="3C0DD5E9" w:rsidR="005B605A" w:rsidRPr="00474548" w:rsidRDefault="005B605A" w:rsidP="008E6F8E">
            <w:pPr>
              <w:tabs>
                <w:tab w:val="left" w:pos="5710"/>
              </w:tabs>
              <w:jc w:val="both"/>
              <w:rPr>
                <w:lang w:val="en-US"/>
              </w:rPr>
            </w:pPr>
            <w:r w:rsidRPr="00474548">
              <w:rPr>
                <w:lang w:val="en-US"/>
              </w:rPr>
              <w:t>83.2</w:t>
            </w:r>
          </w:p>
        </w:tc>
        <w:tc>
          <w:tcPr>
            <w:tcW w:w="1729" w:type="dxa"/>
            <w:tcBorders>
              <w:top w:val="single" w:sz="4" w:space="0" w:color="auto"/>
            </w:tcBorders>
          </w:tcPr>
          <w:p w14:paraId="0D1C843F" w14:textId="2858F7C3" w:rsidR="005B605A" w:rsidRPr="00474548" w:rsidRDefault="005B605A" w:rsidP="008E6F8E">
            <w:pPr>
              <w:tabs>
                <w:tab w:val="left" w:pos="5710"/>
              </w:tabs>
              <w:jc w:val="both"/>
              <w:rPr>
                <w:lang w:val="en-US"/>
              </w:rPr>
            </w:pPr>
            <w:r w:rsidRPr="00474548">
              <w:rPr>
                <w:lang w:val="en-US"/>
              </w:rPr>
              <w:t>0</w:t>
            </w:r>
            <w:r w:rsidR="00B9165B" w:rsidRPr="00474548">
              <w:rPr>
                <w:lang w:val="en-US"/>
              </w:rPr>
              <w:t>.</w:t>
            </w:r>
            <w:r w:rsidRPr="00474548">
              <w:rPr>
                <w:lang w:val="en-US"/>
              </w:rPr>
              <w:t>000</w:t>
            </w:r>
          </w:p>
        </w:tc>
      </w:tr>
      <w:tr w:rsidR="005B605A" w:rsidRPr="00474548" w14:paraId="0708667D" w14:textId="77777777" w:rsidTr="00B61621">
        <w:trPr>
          <w:jc w:val="center"/>
        </w:trPr>
        <w:tc>
          <w:tcPr>
            <w:tcW w:w="1526" w:type="dxa"/>
          </w:tcPr>
          <w:p w14:paraId="0EF6C93D" w14:textId="77777777" w:rsidR="005B605A" w:rsidRPr="00474548" w:rsidRDefault="005B605A" w:rsidP="008E6F8E">
            <w:pPr>
              <w:tabs>
                <w:tab w:val="left" w:pos="5710"/>
              </w:tabs>
              <w:jc w:val="both"/>
              <w:rPr>
                <w:lang w:val="en-US"/>
              </w:rPr>
            </w:pPr>
            <w:r w:rsidRPr="00474548">
              <w:rPr>
                <w:lang w:val="en-US"/>
              </w:rPr>
              <w:t>sigma(0)</w:t>
            </w:r>
          </w:p>
        </w:tc>
        <w:tc>
          <w:tcPr>
            <w:tcW w:w="2126" w:type="dxa"/>
          </w:tcPr>
          <w:p w14:paraId="2C92E03C" w14:textId="79D425EE" w:rsidR="005B605A" w:rsidRPr="00474548" w:rsidRDefault="005B605A" w:rsidP="008E6F8E">
            <w:pPr>
              <w:tabs>
                <w:tab w:val="left" w:pos="5710"/>
              </w:tabs>
              <w:jc w:val="both"/>
              <w:rPr>
                <w:lang w:val="en-US"/>
              </w:rPr>
            </w:pPr>
            <w:r w:rsidRPr="00474548">
              <w:rPr>
                <w:lang w:val="en-US"/>
              </w:rPr>
              <w:t>0</w:t>
            </w:r>
            <w:r w:rsidR="00B9165B" w:rsidRPr="00474548">
              <w:rPr>
                <w:lang w:val="en-US"/>
              </w:rPr>
              <w:t>.</w:t>
            </w:r>
            <w:r w:rsidRPr="00474548">
              <w:rPr>
                <w:lang w:val="en-US"/>
              </w:rPr>
              <w:t>00869115</w:t>
            </w:r>
          </w:p>
        </w:tc>
        <w:tc>
          <w:tcPr>
            <w:tcW w:w="1534" w:type="dxa"/>
          </w:tcPr>
          <w:p w14:paraId="19B124AF" w14:textId="163D0294" w:rsidR="005B605A" w:rsidRPr="00474548" w:rsidRDefault="005B605A" w:rsidP="008E6F8E">
            <w:pPr>
              <w:tabs>
                <w:tab w:val="left" w:pos="5710"/>
              </w:tabs>
              <w:jc w:val="both"/>
              <w:rPr>
                <w:lang w:val="en-US"/>
              </w:rPr>
            </w:pPr>
            <w:r w:rsidRPr="00474548">
              <w:rPr>
                <w:lang w:val="en-US"/>
              </w:rPr>
              <w:t>0.0001804</w:t>
            </w:r>
          </w:p>
        </w:tc>
        <w:tc>
          <w:tcPr>
            <w:tcW w:w="1729" w:type="dxa"/>
          </w:tcPr>
          <w:p w14:paraId="3BD8FA9B" w14:textId="3D98B83D" w:rsidR="005B605A" w:rsidRPr="00474548" w:rsidRDefault="005B605A" w:rsidP="008E6F8E">
            <w:pPr>
              <w:tabs>
                <w:tab w:val="left" w:pos="5710"/>
              </w:tabs>
              <w:jc w:val="both"/>
              <w:rPr>
                <w:lang w:val="en-US"/>
              </w:rPr>
            </w:pPr>
            <w:r w:rsidRPr="00474548">
              <w:rPr>
                <w:lang w:val="en-US"/>
              </w:rPr>
              <w:t>48.2</w:t>
            </w:r>
          </w:p>
        </w:tc>
        <w:tc>
          <w:tcPr>
            <w:tcW w:w="1729" w:type="dxa"/>
          </w:tcPr>
          <w:p w14:paraId="0E12EC85" w14:textId="5C6D4819" w:rsidR="005B605A" w:rsidRPr="00474548" w:rsidRDefault="005B605A" w:rsidP="008E6F8E">
            <w:pPr>
              <w:tabs>
                <w:tab w:val="left" w:pos="5710"/>
              </w:tabs>
              <w:jc w:val="both"/>
              <w:rPr>
                <w:lang w:val="en-US"/>
              </w:rPr>
            </w:pPr>
            <w:r w:rsidRPr="00474548">
              <w:rPr>
                <w:lang w:val="en-US"/>
              </w:rPr>
              <w:t>0</w:t>
            </w:r>
            <w:r w:rsidR="00B9165B" w:rsidRPr="00474548">
              <w:rPr>
                <w:lang w:val="en-US"/>
              </w:rPr>
              <w:t>.</w:t>
            </w:r>
            <w:r w:rsidRPr="00474548">
              <w:rPr>
                <w:lang w:val="en-US"/>
              </w:rPr>
              <w:t>000</w:t>
            </w:r>
          </w:p>
        </w:tc>
      </w:tr>
      <w:tr w:rsidR="005B605A" w:rsidRPr="00474548" w14:paraId="6BB732FC" w14:textId="77777777" w:rsidTr="00B61621">
        <w:trPr>
          <w:jc w:val="center"/>
        </w:trPr>
        <w:tc>
          <w:tcPr>
            <w:tcW w:w="1526" w:type="dxa"/>
          </w:tcPr>
          <w:p w14:paraId="6850776A" w14:textId="1AF74A3E" w:rsidR="005B605A" w:rsidRPr="00474548" w:rsidRDefault="005B605A" w:rsidP="008E6F8E">
            <w:pPr>
              <w:tabs>
                <w:tab w:val="left" w:pos="5710"/>
              </w:tabs>
              <w:jc w:val="both"/>
              <w:rPr>
                <w:lang w:val="en-US"/>
              </w:rPr>
            </w:pPr>
            <w:r w:rsidRPr="00474548">
              <w:rPr>
                <w:lang w:val="en-US"/>
              </w:rPr>
              <w:t>sigma(1)</w:t>
            </w:r>
          </w:p>
        </w:tc>
        <w:tc>
          <w:tcPr>
            <w:tcW w:w="2126" w:type="dxa"/>
          </w:tcPr>
          <w:p w14:paraId="72020B93" w14:textId="1BE7F249" w:rsidR="005B605A" w:rsidRPr="00474548" w:rsidRDefault="005B605A" w:rsidP="008E6F8E">
            <w:pPr>
              <w:tabs>
                <w:tab w:val="left" w:pos="5710"/>
              </w:tabs>
              <w:jc w:val="both"/>
              <w:rPr>
                <w:lang w:val="en-US"/>
              </w:rPr>
            </w:pPr>
            <w:r w:rsidRPr="00474548">
              <w:rPr>
                <w:lang w:val="en-US"/>
              </w:rPr>
              <w:t>0.0220369</w:t>
            </w:r>
          </w:p>
        </w:tc>
        <w:tc>
          <w:tcPr>
            <w:tcW w:w="1534" w:type="dxa"/>
          </w:tcPr>
          <w:p w14:paraId="53830016" w14:textId="2C46921E" w:rsidR="005B605A" w:rsidRPr="00474548" w:rsidRDefault="005B605A" w:rsidP="008E6F8E">
            <w:pPr>
              <w:tabs>
                <w:tab w:val="left" w:pos="5710"/>
              </w:tabs>
              <w:jc w:val="both"/>
              <w:rPr>
                <w:lang w:val="en-US"/>
              </w:rPr>
            </w:pPr>
            <w:r w:rsidRPr="00474548">
              <w:rPr>
                <w:lang w:val="en-US"/>
              </w:rPr>
              <w:t>0.001090</w:t>
            </w:r>
          </w:p>
        </w:tc>
        <w:tc>
          <w:tcPr>
            <w:tcW w:w="1729" w:type="dxa"/>
          </w:tcPr>
          <w:p w14:paraId="63A7253B" w14:textId="2A605A33" w:rsidR="005B605A" w:rsidRPr="00474548" w:rsidRDefault="005B605A" w:rsidP="008E6F8E">
            <w:pPr>
              <w:tabs>
                <w:tab w:val="left" w:pos="5710"/>
              </w:tabs>
              <w:jc w:val="both"/>
              <w:rPr>
                <w:lang w:val="en-US"/>
              </w:rPr>
            </w:pPr>
            <w:r w:rsidRPr="00474548">
              <w:rPr>
                <w:lang w:val="en-US"/>
              </w:rPr>
              <w:t>20.2</w:t>
            </w:r>
          </w:p>
        </w:tc>
        <w:tc>
          <w:tcPr>
            <w:tcW w:w="1729" w:type="dxa"/>
          </w:tcPr>
          <w:p w14:paraId="1E4C2F16" w14:textId="6773D334" w:rsidR="005B605A" w:rsidRPr="00474548" w:rsidRDefault="005B605A" w:rsidP="008E6F8E">
            <w:pPr>
              <w:tabs>
                <w:tab w:val="left" w:pos="5710"/>
              </w:tabs>
              <w:jc w:val="both"/>
              <w:rPr>
                <w:lang w:val="en-US"/>
              </w:rPr>
            </w:pPr>
            <w:r w:rsidRPr="00474548">
              <w:rPr>
                <w:lang w:val="en-US"/>
              </w:rPr>
              <w:t>0</w:t>
            </w:r>
            <w:r w:rsidR="00B9165B" w:rsidRPr="00474548">
              <w:rPr>
                <w:lang w:val="en-US"/>
              </w:rPr>
              <w:t>.</w:t>
            </w:r>
            <w:r w:rsidRPr="00474548">
              <w:rPr>
                <w:lang w:val="en-US"/>
              </w:rPr>
              <w:t>000</w:t>
            </w:r>
          </w:p>
        </w:tc>
      </w:tr>
      <w:tr w:rsidR="005B605A" w:rsidRPr="00474548" w14:paraId="54876933" w14:textId="77777777" w:rsidTr="00B61621">
        <w:trPr>
          <w:jc w:val="center"/>
        </w:trPr>
        <w:tc>
          <w:tcPr>
            <w:tcW w:w="1526" w:type="dxa"/>
          </w:tcPr>
          <w:p w14:paraId="6E2BDF23" w14:textId="4D710D13" w:rsidR="005B605A" w:rsidRPr="00474548" w:rsidRDefault="005B605A" w:rsidP="008E6F8E">
            <w:pPr>
              <w:tabs>
                <w:tab w:val="left" w:pos="5710"/>
              </w:tabs>
              <w:jc w:val="both"/>
              <w:rPr>
                <w:lang w:val="en-US"/>
              </w:rPr>
            </w:pPr>
            <w:r w:rsidRPr="00474548">
              <w:rPr>
                <w:lang w:val="en-US"/>
              </w:rPr>
              <w:t>p_{0|0}</w:t>
            </w:r>
          </w:p>
        </w:tc>
        <w:tc>
          <w:tcPr>
            <w:tcW w:w="2126" w:type="dxa"/>
          </w:tcPr>
          <w:p w14:paraId="241C29A4" w14:textId="050F74BD" w:rsidR="005B605A" w:rsidRPr="00474548" w:rsidRDefault="005B605A" w:rsidP="008E6F8E">
            <w:pPr>
              <w:tabs>
                <w:tab w:val="left" w:pos="5710"/>
              </w:tabs>
              <w:jc w:val="both"/>
              <w:rPr>
                <w:lang w:val="en-US"/>
              </w:rPr>
            </w:pPr>
            <w:r w:rsidRPr="00474548">
              <w:rPr>
                <w:lang w:val="en-US"/>
              </w:rPr>
              <w:t>0.982619</w:t>
            </w:r>
          </w:p>
        </w:tc>
        <w:tc>
          <w:tcPr>
            <w:tcW w:w="1534" w:type="dxa"/>
          </w:tcPr>
          <w:p w14:paraId="67765004" w14:textId="3CFE1A2D" w:rsidR="005B605A" w:rsidRPr="00474548" w:rsidRDefault="005B605A" w:rsidP="008E6F8E">
            <w:pPr>
              <w:tabs>
                <w:tab w:val="left" w:pos="5710"/>
              </w:tabs>
              <w:jc w:val="both"/>
              <w:rPr>
                <w:lang w:val="en-US"/>
              </w:rPr>
            </w:pPr>
            <w:r w:rsidRPr="00474548">
              <w:rPr>
                <w:lang w:val="en-US"/>
              </w:rPr>
              <w:t>0.004382</w:t>
            </w:r>
          </w:p>
        </w:tc>
        <w:tc>
          <w:tcPr>
            <w:tcW w:w="1729" w:type="dxa"/>
          </w:tcPr>
          <w:p w14:paraId="40E8A8AE" w14:textId="7B3F0DEE" w:rsidR="005B605A" w:rsidRPr="00474548" w:rsidRDefault="005B605A" w:rsidP="008E6F8E">
            <w:pPr>
              <w:tabs>
                <w:tab w:val="left" w:pos="5710"/>
              </w:tabs>
              <w:jc w:val="both"/>
              <w:rPr>
                <w:lang w:val="en-US"/>
              </w:rPr>
            </w:pPr>
            <w:r w:rsidRPr="00474548">
              <w:rPr>
                <w:lang w:val="en-US"/>
              </w:rPr>
              <w:t>224</w:t>
            </w:r>
          </w:p>
        </w:tc>
        <w:tc>
          <w:tcPr>
            <w:tcW w:w="1729" w:type="dxa"/>
          </w:tcPr>
          <w:p w14:paraId="389C0563" w14:textId="617A4FD9" w:rsidR="005B605A" w:rsidRPr="00474548" w:rsidRDefault="005B605A" w:rsidP="008E6F8E">
            <w:pPr>
              <w:tabs>
                <w:tab w:val="left" w:pos="5710"/>
              </w:tabs>
              <w:jc w:val="both"/>
              <w:rPr>
                <w:lang w:val="en-US"/>
              </w:rPr>
            </w:pPr>
            <w:r w:rsidRPr="00474548">
              <w:rPr>
                <w:lang w:val="en-US"/>
              </w:rPr>
              <w:t>0</w:t>
            </w:r>
            <w:r w:rsidR="00B9165B" w:rsidRPr="00474548">
              <w:rPr>
                <w:lang w:val="en-US"/>
              </w:rPr>
              <w:t>.</w:t>
            </w:r>
            <w:r w:rsidRPr="00474548">
              <w:rPr>
                <w:lang w:val="en-US"/>
              </w:rPr>
              <w:t>000</w:t>
            </w:r>
          </w:p>
        </w:tc>
      </w:tr>
      <w:tr w:rsidR="005B605A" w:rsidRPr="00474548" w14:paraId="26338BB6" w14:textId="77777777" w:rsidTr="00B61621">
        <w:trPr>
          <w:jc w:val="center"/>
        </w:trPr>
        <w:tc>
          <w:tcPr>
            <w:tcW w:w="1526" w:type="dxa"/>
          </w:tcPr>
          <w:p w14:paraId="69DBB93E" w14:textId="3D065EA5" w:rsidR="005B605A" w:rsidRPr="00474548" w:rsidRDefault="005B605A" w:rsidP="008E6F8E">
            <w:pPr>
              <w:tabs>
                <w:tab w:val="left" w:pos="5710"/>
              </w:tabs>
              <w:jc w:val="both"/>
              <w:rPr>
                <w:lang w:val="en-US"/>
              </w:rPr>
            </w:pPr>
            <w:r w:rsidRPr="00474548">
              <w:rPr>
                <w:lang w:val="en-US"/>
              </w:rPr>
              <w:t>p_{0|1}</w:t>
            </w:r>
          </w:p>
        </w:tc>
        <w:tc>
          <w:tcPr>
            <w:tcW w:w="2126" w:type="dxa"/>
          </w:tcPr>
          <w:p w14:paraId="2D5E790F" w14:textId="3869AB18" w:rsidR="005B605A" w:rsidRPr="00474548" w:rsidRDefault="005B605A" w:rsidP="008E6F8E">
            <w:pPr>
              <w:tabs>
                <w:tab w:val="left" w:pos="5710"/>
              </w:tabs>
              <w:jc w:val="both"/>
              <w:rPr>
                <w:lang w:val="en-US"/>
              </w:rPr>
            </w:pPr>
            <w:r w:rsidRPr="00474548">
              <w:rPr>
                <w:lang w:val="en-US"/>
              </w:rPr>
              <w:t>0.101282</w:t>
            </w:r>
          </w:p>
        </w:tc>
        <w:tc>
          <w:tcPr>
            <w:tcW w:w="1534" w:type="dxa"/>
          </w:tcPr>
          <w:p w14:paraId="1C56FFC1" w14:textId="48D598AD" w:rsidR="005B605A" w:rsidRPr="00474548" w:rsidRDefault="005B605A" w:rsidP="008E6F8E">
            <w:pPr>
              <w:tabs>
                <w:tab w:val="left" w:pos="5710"/>
              </w:tabs>
              <w:jc w:val="both"/>
              <w:rPr>
                <w:lang w:val="en-US"/>
              </w:rPr>
            </w:pPr>
            <w:r w:rsidRPr="00474548">
              <w:rPr>
                <w:lang w:val="en-US"/>
              </w:rPr>
              <w:t>0.02351</w:t>
            </w:r>
          </w:p>
        </w:tc>
        <w:tc>
          <w:tcPr>
            <w:tcW w:w="1729" w:type="dxa"/>
          </w:tcPr>
          <w:p w14:paraId="509E57A5" w14:textId="454F0056" w:rsidR="005B605A" w:rsidRPr="00474548" w:rsidRDefault="005B605A" w:rsidP="008E6F8E">
            <w:pPr>
              <w:tabs>
                <w:tab w:val="left" w:pos="5710"/>
              </w:tabs>
              <w:jc w:val="both"/>
              <w:rPr>
                <w:lang w:val="en-US"/>
              </w:rPr>
            </w:pPr>
            <w:r w:rsidRPr="00474548">
              <w:rPr>
                <w:lang w:val="en-US"/>
              </w:rPr>
              <w:t>4.31</w:t>
            </w:r>
          </w:p>
        </w:tc>
        <w:tc>
          <w:tcPr>
            <w:tcW w:w="1729" w:type="dxa"/>
          </w:tcPr>
          <w:p w14:paraId="6595282F" w14:textId="2C562F7E" w:rsidR="005B605A" w:rsidRPr="00474548" w:rsidRDefault="005B605A" w:rsidP="008E6F8E">
            <w:pPr>
              <w:tabs>
                <w:tab w:val="left" w:pos="5710"/>
              </w:tabs>
              <w:jc w:val="both"/>
              <w:rPr>
                <w:lang w:val="en-US"/>
              </w:rPr>
            </w:pPr>
            <w:r w:rsidRPr="00474548">
              <w:rPr>
                <w:lang w:val="en-US"/>
              </w:rPr>
              <w:t>0</w:t>
            </w:r>
            <w:r w:rsidR="00B9165B" w:rsidRPr="00474548">
              <w:rPr>
                <w:lang w:val="en-US"/>
              </w:rPr>
              <w:t>.</w:t>
            </w:r>
            <w:r w:rsidRPr="00474548">
              <w:rPr>
                <w:lang w:val="en-US"/>
              </w:rPr>
              <w:t>000</w:t>
            </w:r>
          </w:p>
        </w:tc>
      </w:tr>
    </w:tbl>
    <w:p w14:paraId="22838987" w14:textId="02CCB4C5" w:rsidR="005B605A" w:rsidRPr="00474548" w:rsidRDefault="005B605A" w:rsidP="008E6F8E">
      <w:pPr>
        <w:rPr>
          <w:sz w:val="20"/>
          <w:szCs w:val="20"/>
          <w:lang w:val="en-US"/>
        </w:rPr>
      </w:pPr>
      <w:r w:rsidRPr="00474548">
        <w:rPr>
          <w:sz w:val="20"/>
          <w:szCs w:val="20"/>
          <w:lang w:val="en-US"/>
        </w:rPr>
        <w:t>log-likelihood</w:t>
      </w:r>
      <w:r w:rsidR="00247092" w:rsidRPr="00474548">
        <w:rPr>
          <w:sz w:val="20"/>
          <w:szCs w:val="20"/>
          <w:lang w:val="en-US"/>
        </w:rPr>
        <w:tab/>
      </w:r>
      <w:r w:rsidR="00247092" w:rsidRPr="00474548">
        <w:rPr>
          <w:sz w:val="20"/>
          <w:szCs w:val="20"/>
          <w:lang w:val="en-US"/>
        </w:rPr>
        <w:tab/>
      </w:r>
      <w:r w:rsidRPr="00474548">
        <w:rPr>
          <w:sz w:val="20"/>
          <w:szCs w:val="20"/>
          <w:lang w:val="en-US"/>
        </w:rPr>
        <w:t>14166</w:t>
      </w:r>
      <w:r w:rsidR="00B9165B" w:rsidRPr="00474548">
        <w:rPr>
          <w:sz w:val="20"/>
          <w:szCs w:val="20"/>
          <w:lang w:val="en-US"/>
        </w:rPr>
        <w:t>.</w:t>
      </w:r>
      <w:r w:rsidRPr="00474548">
        <w:rPr>
          <w:sz w:val="20"/>
          <w:szCs w:val="20"/>
          <w:lang w:val="en-US"/>
        </w:rPr>
        <w:t>133</w:t>
      </w:r>
    </w:p>
    <w:p w14:paraId="2B3FD3AA" w14:textId="023F8EA9" w:rsidR="005B605A" w:rsidRPr="00474548" w:rsidRDefault="005B605A" w:rsidP="008E6F8E">
      <w:pPr>
        <w:rPr>
          <w:sz w:val="20"/>
          <w:szCs w:val="20"/>
          <w:lang w:val="en-US"/>
        </w:rPr>
      </w:pPr>
      <w:r w:rsidRPr="00474548">
        <w:rPr>
          <w:sz w:val="20"/>
          <w:szCs w:val="20"/>
          <w:lang w:val="en-US"/>
        </w:rPr>
        <w:t>N</w:t>
      </w:r>
      <w:r w:rsidR="00247092" w:rsidRPr="00474548">
        <w:rPr>
          <w:sz w:val="20"/>
          <w:szCs w:val="20"/>
          <w:lang w:val="en-US"/>
        </w:rPr>
        <w:t>o.</w:t>
      </w:r>
      <w:r w:rsidRPr="00474548">
        <w:rPr>
          <w:sz w:val="20"/>
          <w:szCs w:val="20"/>
          <w:lang w:val="en-US"/>
        </w:rPr>
        <w:t xml:space="preserve"> of observations</w:t>
      </w:r>
      <w:r w:rsidR="00247092" w:rsidRPr="00474548">
        <w:rPr>
          <w:sz w:val="20"/>
          <w:szCs w:val="20"/>
          <w:lang w:val="en-US"/>
        </w:rPr>
        <w:tab/>
      </w:r>
      <w:r w:rsidRPr="00474548">
        <w:rPr>
          <w:sz w:val="20"/>
          <w:szCs w:val="20"/>
          <w:lang w:val="en-US"/>
        </w:rPr>
        <w:t>4510</w:t>
      </w:r>
      <w:r w:rsidR="00247092" w:rsidRPr="00474548">
        <w:rPr>
          <w:sz w:val="20"/>
          <w:szCs w:val="20"/>
          <w:lang w:val="en-US"/>
        </w:rPr>
        <w:tab/>
      </w:r>
      <w:r w:rsidR="00247092" w:rsidRPr="00474548">
        <w:rPr>
          <w:sz w:val="20"/>
          <w:szCs w:val="20"/>
          <w:lang w:val="en-US"/>
        </w:rPr>
        <w:tab/>
      </w:r>
      <w:r w:rsidR="00247092" w:rsidRPr="00474548">
        <w:rPr>
          <w:sz w:val="20"/>
          <w:szCs w:val="20"/>
          <w:lang w:val="en-US"/>
        </w:rPr>
        <w:tab/>
      </w:r>
      <w:r w:rsidRPr="00474548">
        <w:rPr>
          <w:sz w:val="20"/>
          <w:szCs w:val="20"/>
          <w:lang w:val="en-US"/>
        </w:rPr>
        <w:t>N</w:t>
      </w:r>
      <w:r w:rsidR="00247092" w:rsidRPr="00474548">
        <w:rPr>
          <w:sz w:val="20"/>
          <w:szCs w:val="20"/>
          <w:lang w:val="en-US"/>
        </w:rPr>
        <w:t>o.</w:t>
      </w:r>
      <w:r w:rsidRPr="00474548">
        <w:rPr>
          <w:sz w:val="20"/>
          <w:szCs w:val="20"/>
          <w:lang w:val="en-US"/>
        </w:rPr>
        <w:t xml:space="preserve"> of parameters</w:t>
      </w:r>
      <w:r w:rsidR="00247092" w:rsidRPr="00474548">
        <w:rPr>
          <w:sz w:val="20"/>
          <w:szCs w:val="20"/>
          <w:lang w:val="en-US"/>
        </w:rPr>
        <w:tab/>
      </w:r>
      <w:r w:rsidR="00247092" w:rsidRPr="00474548">
        <w:rPr>
          <w:sz w:val="20"/>
          <w:szCs w:val="20"/>
          <w:lang w:val="en-US"/>
        </w:rPr>
        <w:tab/>
      </w:r>
      <w:r w:rsidRPr="00474548">
        <w:rPr>
          <w:sz w:val="20"/>
          <w:szCs w:val="20"/>
          <w:lang w:val="en-US"/>
        </w:rPr>
        <w:t>5</w:t>
      </w:r>
    </w:p>
    <w:p w14:paraId="4AA7EF82" w14:textId="2C9E4F63" w:rsidR="005B605A" w:rsidRPr="00474548" w:rsidRDefault="001F5B4D" w:rsidP="008E6F8E">
      <w:pPr>
        <w:rPr>
          <w:sz w:val="20"/>
          <w:szCs w:val="20"/>
          <w:lang w:val="en-US"/>
        </w:rPr>
      </w:pPr>
      <w:r w:rsidRPr="00474548">
        <w:rPr>
          <w:sz w:val="20"/>
          <w:szCs w:val="20"/>
          <w:lang w:val="en-US"/>
        </w:rPr>
        <w:t xml:space="preserve">AIC.T                    </w:t>
      </w:r>
      <w:r w:rsidR="00247092" w:rsidRPr="00474548">
        <w:rPr>
          <w:sz w:val="20"/>
          <w:szCs w:val="20"/>
          <w:lang w:val="en-US"/>
        </w:rPr>
        <w:tab/>
      </w:r>
      <w:r w:rsidRPr="00474548">
        <w:rPr>
          <w:sz w:val="20"/>
          <w:szCs w:val="20"/>
          <w:lang w:val="en-US"/>
        </w:rPr>
        <w:t>-28322.266</w:t>
      </w:r>
      <w:r w:rsidR="00247092" w:rsidRPr="00474548">
        <w:rPr>
          <w:sz w:val="20"/>
          <w:szCs w:val="20"/>
          <w:lang w:val="en-US"/>
        </w:rPr>
        <w:tab/>
      </w:r>
      <w:r w:rsidR="00247092" w:rsidRPr="00474548">
        <w:rPr>
          <w:sz w:val="20"/>
          <w:szCs w:val="20"/>
          <w:lang w:val="en-US"/>
        </w:rPr>
        <w:tab/>
      </w:r>
      <w:r w:rsidRPr="00474548">
        <w:rPr>
          <w:sz w:val="20"/>
          <w:szCs w:val="20"/>
          <w:lang w:val="en-US"/>
        </w:rPr>
        <w:t>AIC</w:t>
      </w:r>
      <w:r w:rsidR="00247092" w:rsidRPr="00474548">
        <w:rPr>
          <w:sz w:val="20"/>
          <w:szCs w:val="20"/>
          <w:lang w:val="en-US"/>
        </w:rPr>
        <w:tab/>
      </w:r>
      <w:r w:rsidR="00247092" w:rsidRPr="00474548">
        <w:rPr>
          <w:sz w:val="20"/>
          <w:szCs w:val="20"/>
          <w:lang w:val="en-US"/>
        </w:rPr>
        <w:tab/>
      </w:r>
      <w:r w:rsidR="00247092" w:rsidRPr="00474548">
        <w:rPr>
          <w:sz w:val="20"/>
          <w:szCs w:val="20"/>
          <w:lang w:val="en-US"/>
        </w:rPr>
        <w:tab/>
      </w:r>
      <w:r w:rsidRPr="00474548">
        <w:rPr>
          <w:sz w:val="20"/>
          <w:szCs w:val="20"/>
          <w:lang w:val="en-US"/>
        </w:rPr>
        <w:t>-6.27988159</w:t>
      </w:r>
    </w:p>
    <w:p w14:paraId="279C2465" w14:textId="6D477396" w:rsidR="005B605A" w:rsidRPr="00474548" w:rsidRDefault="001F5B4D" w:rsidP="008E6F8E">
      <w:pPr>
        <w:rPr>
          <w:sz w:val="20"/>
          <w:szCs w:val="20"/>
          <w:lang w:val="en-US"/>
        </w:rPr>
      </w:pPr>
      <w:r w:rsidRPr="00474548">
        <w:rPr>
          <w:sz w:val="20"/>
          <w:szCs w:val="20"/>
          <w:lang w:val="en-US"/>
        </w:rPr>
        <w:t>Average (RIEE</w:t>
      </w:r>
      <w:r w:rsidR="0087484D" w:rsidRPr="00474548">
        <w:rPr>
          <w:sz w:val="20"/>
          <w:szCs w:val="20"/>
          <w:lang w:val="en-US"/>
        </w:rPr>
        <w:t>)</w:t>
      </w:r>
      <w:r w:rsidR="00247092" w:rsidRPr="00474548">
        <w:rPr>
          <w:sz w:val="20"/>
          <w:szCs w:val="20"/>
          <w:lang w:val="en-US"/>
        </w:rPr>
        <w:tab/>
      </w:r>
      <w:r w:rsidR="00247092" w:rsidRPr="00474548">
        <w:rPr>
          <w:sz w:val="20"/>
          <w:szCs w:val="20"/>
          <w:lang w:val="en-US"/>
        </w:rPr>
        <w:tab/>
      </w:r>
      <w:r w:rsidRPr="00474548">
        <w:rPr>
          <w:sz w:val="20"/>
          <w:szCs w:val="20"/>
          <w:lang w:val="en-US"/>
        </w:rPr>
        <w:t>0.000789565</w:t>
      </w:r>
      <w:r w:rsidR="00247092" w:rsidRPr="00474548">
        <w:rPr>
          <w:sz w:val="20"/>
          <w:szCs w:val="20"/>
          <w:lang w:val="en-US"/>
        </w:rPr>
        <w:tab/>
      </w:r>
      <w:r w:rsidR="00247092" w:rsidRPr="00474548">
        <w:rPr>
          <w:sz w:val="20"/>
          <w:szCs w:val="20"/>
          <w:lang w:val="en-US"/>
        </w:rPr>
        <w:tab/>
      </w:r>
      <w:proofErr w:type="spellStart"/>
      <w:r w:rsidRPr="00474548">
        <w:rPr>
          <w:sz w:val="20"/>
          <w:szCs w:val="20"/>
          <w:lang w:val="en-US"/>
        </w:rPr>
        <w:t>var</w:t>
      </w:r>
      <w:proofErr w:type="spellEnd"/>
      <w:r w:rsidRPr="00474548">
        <w:rPr>
          <w:sz w:val="20"/>
          <w:szCs w:val="20"/>
          <w:lang w:val="en-US"/>
        </w:rPr>
        <w:t>(RIEE)</w:t>
      </w:r>
      <w:r w:rsidR="00247092" w:rsidRPr="00474548">
        <w:rPr>
          <w:sz w:val="20"/>
          <w:szCs w:val="20"/>
          <w:lang w:val="en-US"/>
        </w:rPr>
        <w:tab/>
      </w:r>
      <w:r w:rsidR="00247092" w:rsidRPr="00474548">
        <w:rPr>
          <w:sz w:val="20"/>
          <w:szCs w:val="20"/>
          <w:lang w:val="en-US"/>
        </w:rPr>
        <w:tab/>
      </w:r>
      <w:r w:rsidRPr="00474548">
        <w:rPr>
          <w:sz w:val="20"/>
          <w:szCs w:val="20"/>
          <w:lang w:val="en-US"/>
        </w:rPr>
        <w:t xml:space="preserve">0.000387932 </w:t>
      </w:r>
    </w:p>
    <w:p w14:paraId="2C2D0C30" w14:textId="77777777" w:rsidR="005B605A" w:rsidRPr="00474548" w:rsidRDefault="005B605A" w:rsidP="008E6F8E">
      <w:pPr>
        <w:rPr>
          <w:sz w:val="20"/>
          <w:szCs w:val="20"/>
          <w:lang w:val="en-US"/>
        </w:rPr>
      </w:pPr>
      <w:r w:rsidRPr="00474548">
        <w:rPr>
          <w:sz w:val="20"/>
          <w:szCs w:val="20"/>
          <w:lang w:val="en-US"/>
        </w:rPr>
        <w:t xml:space="preserve">Linearity LR-test Chi ^ 2 (3) = 983.96 [0.0000] </w:t>
      </w:r>
    </w:p>
    <w:p w14:paraId="57394A94" w14:textId="266DBDC6" w:rsidR="005B605A" w:rsidRPr="00474548" w:rsidRDefault="005B605A" w:rsidP="008E6F8E">
      <w:pPr>
        <w:rPr>
          <w:sz w:val="20"/>
          <w:szCs w:val="20"/>
          <w:lang w:val="en-US"/>
        </w:rPr>
      </w:pPr>
      <w:r w:rsidRPr="00474548">
        <w:rPr>
          <w:sz w:val="20"/>
          <w:szCs w:val="20"/>
          <w:lang w:val="en-US"/>
        </w:rPr>
        <w:t>**approximated upper limit: [0</w:t>
      </w:r>
      <w:r w:rsidR="00B9165B" w:rsidRPr="00474548">
        <w:rPr>
          <w:sz w:val="20"/>
          <w:szCs w:val="20"/>
          <w:lang w:val="en-US"/>
        </w:rPr>
        <w:t>.</w:t>
      </w:r>
      <w:r w:rsidRPr="00474548">
        <w:rPr>
          <w:sz w:val="20"/>
          <w:szCs w:val="20"/>
          <w:lang w:val="en-US"/>
        </w:rPr>
        <w:t>0000] **</w:t>
      </w:r>
    </w:p>
    <w:p w14:paraId="4BEEF1FF" w14:textId="77777777" w:rsidR="005B605A" w:rsidRPr="00474548" w:rsidRDefault="005B605A" w:rsidP="008E6F8E">
      <w:pPr>
        <w:rPr>
          <w:sz w:val="20"/>
          <w:szCs w:val="20"/>
          <w:lang w:val="en-US"/>
        </w:rPr>
      </w:pPr>
      <w:r w:rsidRPr="00474548">
        <w:rPr>
          <w:sz w:val="20"/>
          <w:szCs w:val="20"/>
          <w:lang w:val="en-US"/>
        </w:rPr>
        <w:t>Transition probabilities p_ {</w:t>
      </w:r>
      <w:proofErr w:type="spellStart"/>
      <w:r w:rsidRPr="00474548">
        <w:rPr>
          <w:sz w:val="20"/>
          <w:szCs w:val="20"/>
          <w:lang w:val="en-US"/>
        </w:rPr>
        <w:t>i</w:t>
      </w:r>
      <w:proofErr w:type="spellEnd"/>
      <w:r w:rsidRPr="00474548">
        <w:rPr>
          <w:sz w:val="20"/>
          <w:szCs w:val="20"/>
          <w:lang w:val="en-US"/>
        </w:rPr>
        <w:t xml:space="preserve"> | j} = P (Regime </w:t>
      </w:r>
      <w:proofErr w:type="spellStart"/>
      <w:r w:rsidRPr="00474548">
        <w:rPr>
          <w:sz w:val="20"/>
          <w:szCs w:val="20"/>
          <w:lang w:val="en-US"/>
        </w:rPr>
        <w:t>i</w:t>
      </w:r>
      <w:proofErr w:type="spellEnd"/>
      <w:r w:rsidRPr="00474548">
        <w:rPr>
          <w:sz w:val="20"/>
          <w:szCs w:val="20"/>
          <w:lang w:val="en-US"/>
        </w:rPr>
        <w:t xml:space="preserve"> in t +1 | Regime j in t)</w:t>
      </w:r>
    </w:p>
    <w:p w14:paraId="28C6A27F" w14:textId="77777777" w:rsidR="005B605A" w:rsidRPr="00474548" w:rsidRDefault="005B605A" w:rsidP="008E6F8E">
      <w:pPr>
        <w:rPr>
          <w:sz w:val="20"/>
          <w:szCs w:val="20"/>
          <w:lang w:val="en-US"/>
        </w:rPr>
      </w:pPr>
      <w:r w:rsidRPr="00474548">
        <w:rPr>
          <w:sz w:val="20"/>
          <w:szCs w:val="20"/>
          <w:lang w:val="en-US"/>
        </w:rPr>
        <w:t>                                   Regime 0, t     Regime 1, t</w:t>
      </w:r>
    </w:p>
    <w:p w14:paraId="6754BA53" w14:textId="78E29D37" w:rsidR="005B605A" w:rsidRPr="00474548" w:rsidRDefault="005B605A" w:rsidP="008E6F8E">
      <w:pPr>
        <w:rPr>
          <w:sz w:val="20"/>
          <w:szCs w:val="20"/>
          <w:lang w:val="en-US"/>
        </w:rPr>
      </w:pPr>
      <w:r w:rsidRPr="00474548">
        <w:rPr>
          <w:sz w:val="20"/>
          <w:szCs w:val="20"/>
          <w:lang w:val="en-US"/>
        </w:rPr>
        <w:t>Regime 0,t+1              0</w:t>
      </w:r>
      <w:r w:rsidR="00B9165B" w:rsidRPr="00474548">
        <w:rPr>
          <w:sz w:val="20"/>
          <w:szCs w:val="20"/>
          <w:lang w:val="en-US"/>
        </w:rPr>
        <w:t>.</w:t>
      </w:r>
      <w:r w:rsidRPr="00474548">
        <w:rPr>
          <w:sz w:val="20"/>
          <w:szCs w:val="20"/>
          <w:lang w:val="en-US"/>
        </w:rPr>
        <w:t>98262            0</w:t>
      </w:r>
      <w:r w:rsidR="00B9165B" w:rsidRPr="00474548">
        <w:rPr>
          <w:sz w:val="20"/>
          <w:szCs w:val="20"/>
          <w:lang w:val="en-US"/>
        </w:rPr>
        <w:t>.</w:t>
      </w:r>
      <w:r w:rsidRPr="00474548">
        <w:rPr>
          <w:sz w:val="20"/>
          <w:szCs w:val="20"/>
          <w:lang w:val="en-US"/>
        </w:rPr>
        <w:t>10128</w:t>
      </w:r>
    </w:p>
    <w:p w14:paraId="387CFA57" w14:textId="72ECD25E" w:rsidR="005B605A" w:rsidRPr="00474548" w:rsidRDefault="005B605A" w:rsidP="008E6F8E">
      <w:pPr>
        <w:rPr>
          <w:sz w:val="20"/>
          <w:szCs w:val="20"/>
          <w:lang w:val="en-US"/>
        </w:rPr>
      </w:pPr>
      <w:r w:rsidRPr="00474548">
        <w:rPr>
          <w:sz w:val="20"/>
          <w:szCs w:val="20"/>
          <w:lang w:val="en-US"/>
        </w:rPr>
        <w:t>Regime 1,t+1              0</w:t>
      </w:r>
      <w:r w:rsidR="00B9165B" w:rsidRPr="00474548">
        <w:rPr>
          <w:sz w:val="20"/>
          <w:szCs w:val="20"/>
          <w:lang w:val="en-US"/>
        </w:rPr>
        <w:t>.</w:t>
      </w:r>
      <w:r w:rsidRPr="00474548">
        <w:rPr>
          <w:sz w:val="20"/>
          <w:szCs w:val="20"/>
          <w:lang w:val="en-US"/>
        </w:rPr>
        <w:t>017381          0</w:t>
      </w:r>
      <w:r w:rsidR="00B9165B" w:rsidRPr="00474548">
        <w:rPr>
          <w:sz w:val="20"/>
          <w:szCs w:val="20"/>
          <w:lang w:val="en-US"/>
        </w:rPr>
        <w:t>.</w:t>
      </w:r>
      <w:r w:rsidRPr="00474548">
        <w:rPr>
          <w:sz w:val="20"/>
          <w:szCs w:val="20"/>
          <w:lang w:val="en-US"/>
        </w:rPr>
        <w:t>89872</w:t>
      </w:r>
    </w:p>
    <w:tbl>
      <w:tblPr>
        <w:tblStyle w:val="TableGrid"/>
        <w:tblW w:w="911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3155"/>
        <w:gridCol w:w="3155"/>
      </w:tblGrid>
      <w:tr w:rsidR="00D1272A" w:rsidRPr="00474548" w14:paraId="7BD62C5D" w14:textId="77777777" w:rsidTr="00D1272A">
        <w:trPr>
          <w:trHeight w:val="272"/>
        </w:trPr>
        <w:tc>
          <w:tcPr>
            <w:tcW w:w="2800" w:type="dxa"/>
          </w:tcPr>
          <w:p w14:paraId="6E90D9AE" w14:textId="77777777" w:rsidR="001B0A1A" w:rsidRPr="00474548" w:rsidRDefault="001B0A1A" w:rsidP="008E6F8E">
            <w:pPr>
              <w:tabs>
                <w:tab w:val="left" w:pos="5710"/>
              </w:tabs>
              <w:jc w:val="both"/>
              <w:rPr>
                <w:lang w:val="en-US"/>
              </w:rPr>
            </w:pPr>
          </w:p>
        </w:tc>
        <w:tc>
          <w:tcPr>
            <w:tcW w:w="3155" w:type="dxa"/>
          </w:tcPr>
          <w:p w14:paraId="45FBD395" w14:textId="77777777" w:rsidR="001B0A1A" w:rsidRPr="00474548" w:rsidRDefault="001B0A1A" w:rsidP="008E6F8E">
            <w:pPr>
              <w:tabs>
                <w:tab w:val="left" w:pos="5710"/>
              </w:tabs>
              <w:jc w:val="both"/>
              <w:rPr>
                <w:lang w:val="en-US"/>
              </w:rPr>
            </w:pPr>
          </w:p>
        </w:tc>
        <w:tc>
          <w:tcPr>
            <w:tcW w:w="3155" w:type="dxa"/>
          </w:tcPr>
          <w:p w14:paraId="68F0E034" w14:textId="77777777" w:rsidR="001B0A1A" w:rsidRPr="00474548" w:rsidRDefault="001B0A1A" w:rsidP="008E6F8E">
            <w:pPr>
              <w:tabs>
                <w:tab w:val="left" w:pos="5710"/>
              </w:tabs>
              <w:jc w:val="both"/>
              <w:rPr>
                <w:lang w:val="en-US"/>
              </w:rPr>
            </w:pPr>
          </w:p>
        </w:tc>
      </w:tr>
    </w:tbl>
    <w:p w14:paraId="7378DC74" w14:textId="28C7C797" w:rsidR="005B605A" w:rsidRPr="00474548" w:rsidRDefault="001B0A1A" w:rsidP="001B0A1A">
      <w:pPr>
        <w:tabs>
          <w:tab w:val="left" w:pos="5710"/>
        </w:tabs>
        <w:jc w:val="both"/>
        <w:rPr>
          <w:sz w:val="22"/>
          <w:szCs w:val="22"/>
          <w:lang w:val="en-US"/>
        </w:rPr>
      </w:pPr>
      <w:r w:rsidRPr="00474548">
        <w:rPr>
          <w:sz w:val="20"/>
          <w:szCs w:val="20"/>
          <w:lang w:val="en-US"/>
        </w:rPr>
        <w:t xml:space="preserve">               </w:t>
      </w:r>
      <w:r w:rsidR="005B605A" w:rsidRPr="00474548">
        <w:rPr>
          <w:sz w:val="22"/>
          <w:szCs w:val="22"/>
          <w:lang w:val="en-US"/>
        </w:rPr>
        <w:t xml:space="preserve">After the estimation of </w:t>
      </w:r>
      <w:r w:rsidR="00B55B16" w:rsidRPr="00474548">
        <w:rPr>
          <w:sz w:val="22"/>
          <w:szCs w:val="22"/>
          <w:lang w:val="en-US"/>
        </w:rPr>
        <w:t xml:space="preserve">the </w:t>
      </w:r>
      <w:r w:rsidR="005B605A" w:rsidRPr="00474548">
        <w:rPr>
          <w:sz w:val="22"/>
          <w:szCs w:val="22"/>
          <w:lang w:val="en-US"/>
        </w:rPr>
        <w:t xml:space="preserve">Markov Regimes, the following results </w:t>
      </w:r>
      <w:r w:rsidR="00B9165B" w:rsidRPr="00474548">
        <w:rPr>
          <w:sz w:val="22"/>
          <w:szCs w:val="22"/>
          <w:lang w:val="en-US"/>
        </w:rPr>
        <w:t xml:space="preserve">were obtained </w:t>
      </w:r>
      <w:r w:rsidR="005B605A" w:rsidRPr="00474548">
        <w:rPr>
          <w:sz w:val="22"/>
          <w:szCs w:val="22"/>
          <w:lang w:val="en-US"/>
        </w:rPr>
        <w:t>for the regression residues: (</w:t>
      </w:r>
      <w:proofErr w:type="spellStart"/>
      <w:r w:rsidR="005B605A" w:rsidRPr="00474548">
        <w:rPr>
          <w:sz w:val="22"/>
          <w:szCs w:val="22"/>
          <w:lang w:val="en-US"/>
        </w:rPr>
        <w:t>i</w:t>
      </w:r>
      <w:proofErr w:type="spellEnd"/>
      <w:r w:rsidR="005B605A" w:rsidRPr="00474548">
        <w:rPr>
          <w:sz w:val="22"/>
          <w:szCs w:val="22"/>
          <w:lang w:val="en-US"/>
        </w:rPr>
        <w:t>) Regular Regime or 0</w:t>
      </w:r>
      <w:r w:rsidR="00B55B16" w:rsidRPr="00474548">
        <w:rPr>
          <w:sz w:val="22"/>
          <w:szCs w:val="22"/>
          <w:lang w:val="en-US"/>
        </w:rPr>
        <w:t xml:space="preserve"> – </w:t>
      </w:r>
      <w:r w:rsidR="005B605A" w:rsidRPr="00474548">
        <w:rPr>
          <w:sz w:val="22"/>
          <w:szCs w:val="22"/>
          <w:lang w:val="en-US"/>
        </w:rPr>
        <w:t>3</w:t>
      </w:r>
      <w:r w:rsidR="00B55B16" w:rsidRPr="00474548">
        <w:rPr>
          <w:sz w:val="22"/>
          <w:szCs w:val="22"/>
          <w:lang w:val="en-US"/>
        </w:rPr>
        <w:t>,</w:t>
      </w:r>
      <w:r w:rsidR="005B605A" w:rsidRPr="00474548">
        <w:rPr>
          <w:sz w:val="22"/>
          <w:szCs w:val="22"/>
          <w:lang w:val="en-US"/>
        </w:rPr>
        <w:t>947 observations were detected with the absence of any typicality in waste; (ii) Regime 1</w:t>
      </w:r>
      <w:r w:rsidR="00B55B16" w:rsidRPr="00474548">
        <w:rPr>
          <w:sz w:val="22"/>
          <w:szCs w:val="22"/>
          <w:lang w:val="en-US"/>
        </w:rPr>
        <w:t xml:space="preserve"> – A total of </w:t>
      </w:r>
      <w:r w:rsidR="00276EEE" w:rsidRPr="00474548">
        <w:rPr>
          <w:sz w:val="22"/>
          <w:szCs w:val="22"/>
          <w:lang w:val="en-US"/>
        </w:rPr>
        <w:t>563</w:t>
      </w:r>
      <w:r w:rsidR="005B605A" w:rsidRPr="00474548">
        <w:rPr>
          <w:sz w:val="22"/>
          <w:szCs w:val="22"/>
          <w:lang w:val="en-US"/>
        </w:rPr>
        <w:t xml:space="preserve"> observations </w:t>
      </w:r>
      <w:r w:rsidR="00B9165B" w:rsidRPr="00474548">
        <w:rPr>
          <w:sz w:val="22"/>
          <w:szCs w:val="22"/>
          <w:lang w:val="en-US"/>
        </w:rPr>
        <w:t xml:space="preserve">noted </w:t>
      </w:r>
      <w:r w:rsidR="005B605A" w:rsidRPr="00474548">
        <w:rPr>
          <w:sz w:val="22"/>
          <w:szCs w:val="22"/>
          <w:lang w:val="en-US"/>
        </w:rPr>
        <w:t>regulatory disturbance or specificities of the electricity sector by increasing the variation.</w:t>
      </w:r>
    </w:p>
    <w:p w14:paraId="7EAE3BE8" w14:textId="6871B7BF" w:rsidR="005B605A" w:rsidRPr="00474548" w:rsidRDefault="00CF1C31" w:rsidP="008E6F8E">
      <w:pPr>
        <w:tabs>
          <w:tab w:val="left" w:pos="5710"/>
        </w:tabs>
        <w:ind w:firstLine="709"/>
        <w:jc w:val="both"/>
        <w:rPr>
          <w:sz w:val="22"/>
          <w:szCs w:val="22"/>
          <w:lang w:val="en-US"/>
        </w:rPr>
      </w:pPr>
      <w:r w:rsidRPr="00474548">
        <w:rPr>
          <w:sz w:val="22"/>
          <w:szCs w:val="22"/>
          <w:lang w:val="en-US"/>
        </w:rPr>
        <w:t>Twenty-nine</w:t>
      </w:r>
      <w:r w:rsidR="005B605A" w:rsidRPr="00474548">
        <w:rPr>
          <w:sz w:val="22"/>
          <w:szCs w:val="22"/>
          <w:lang w:val="en-US"/>
        </w:rPr>
        <w:t xml:space="preserve"> relevant periods were identified </w:t>
      </w:r>
      <w:r w:rsidR="00B9165B" w:rsidRPr="00474548">
        <w:rPr>
          <w:sz w:val="22"/>
          <w:szCs w:val="22"/>
          <w:lang w:val="en-US"/>
        </w:rPr>
        <w:t>with fewer</w:t>
      </w:r>
      <w:r w:rsidR="005B605A" w:rsidRPr="00474548">
        <w:rPr>
          <w:sz w:val="22"/>
          <w:szCs w:val="22"/>
          <w:lang w:val="en-US"/>
        </w:rPr>
        <w:t xml:space="preserve"> than five days of regulatory disturbance. The selection of </w:t>
      </w:r>
      <w:r w:rsidR="00377F77" w:rsidRPr="00474548">
        <w:rPr>
          <w:sz w:val="22"/>
          <w:szCs w:val="22"/>
          <w:lang w:val="en-US"/>
        </w:rPr>
        <w:t xml:space="preserve">variations of more </w:t>
      </w:r>
      <w:r w:rsidR="005B605A" w:rsidRPr="00474548">
        <w:rPr>
          <w:sz w:val="22"/>
          <w:szCs w:val="22"/>
          <w:lang w:val="en-US"/>
        </w:rPr>
        <w:t xml:space="preserve">than five days takes into account the perspective that </w:t>
      </w:r>
      <w:r w:rsidR="005B605A" w:rsidRPr="00474548">
        <w:rPr>
          <w:sz w:val="22"/>
          <w:szCs w:val="22"/>
          <w:lang w:val="en-US"/>
        </w:rPr>
        <w:lastRenderedPageBreak/>
        <w:t>no significant regulatory event presented an impact of only 1 or 2 days on</w:t>
      </w:r>
      <w:r w:rsidR="00B9165B" w:rsidRPr="00474548">
        <w:rPr>
          <w:sz w:val="22"/>
          <w:szCs w:val="22"/>
          <w:lang w:val="en-US"/>
        </w:rPr>
        <w:t xml:space="preserve"> the</w:t>
      </w:r>
      <w:r w:rsidR="005B605A" w:rsidRPr="00474548">
        <w:rPr>
          <w:sz w:val="22"/>
          <w:szCs w:val="22"/>
          <w:lang w:val="en-US"/>
        </w:rPr>
        <w:t xml:space="preserve"> market. After </w:t>
      </w:r>
      <w:r w:rsidR="00377F77" w:rsidRPr="00474548">
        <w:rPr>
          <w:sz w:val="22"/>
          <w:szCs w:val="22"/>
          <w:lang w:val="en-US"/>
        </w:rPr>
        <w:t xml:space="preserve">conducting </w:t>
      </w:r>
      <w:r w:rsidR="005B605A" w:rsidRPr="00474548">
        <w:rPr>
          <w:sz w:val="22"/>
          <w:szCs w:val="22"/>
          <w:lang w:val="en-US"/>
        </w:rPr>
        <w:t xml:space="preserve">research on news sites and </w:t>
      </w:r>
      <w:r w:rsidR="00B55B16" w:rsidRPr="00474548">
        <w:rPr>
          <w:sz w:val="22"/>
          <w:szCs w:val="22"/>
          <w:lang w:val="en-US"/>
        </w:rPr>
        <w:t xml:space="preserve">the websites of </w:t>
      </w:r>
      <w:r w:rsidR="0087484D" w:rsidRPr="00474548">
        <w:rPr>
          <w:sz w:val="22"/>
          <w:szCs w:val="22"/>
          <w:lang w:val="en-US"/>
        </w:rPr>
        <w:t xml:space="preserve">ANEEL </w:t>
      </w:r>
      <w:r w:rsidR="00B55B16" w:rsidRPr="00474548">
        <w:rPr>
          <w:sz w:val="22"/>
          <w:szCs w:val="22"/>
          <w:lang w:val="en-US"/>
        </w:rPr>
        <w:t>and the</w:t>
      </w:r>
      <w:r w:rsidR="005B605A" w:rsidRPr="00474548">
        <w:rPr>
          <w:sz w:val="22"/>
          <w:szCs w:val="22"/>
          <w:lang w:val="en-US"/>
        </w:rPr>
        <w:t xml:space="preserve"> Ministry of Mines and Energy, among others, regulatory and industry-specific events captured as Markov Regime </w:t>
      </w:r>
      <w:r w:rsidR="00A11F4D" w:rsidRPr="00474548">
        <w:rPr>
          <w:sz w:val="22"/>
          <w:szCs w:val="22"/>
          <w:lang w:val="en-US"/>
        </w:rPr>
        <w:t>C</w:t>
      </w:r>
      <w:r w:rsidR="005B605A" w:rsidRPr="00474548">
        <w:rPr>
          <w:sz w:val="22"/>
          <w:szCs w:val="22"/>
          <w:lang w:val="en-US"/>
        </w:rPr>
        <w:t>hanges were identified.</w:t>
      </w:r>
    </w:p>
    <w:p w14:paraId="26A8F672" w14:textId="5D9B8362" w:rsidR="005B605A" w:rsidRPr="00474548" w:rsidRDefault="005B605A" w:rsidP="00B61621">
      <w:pPr>
        <w:tabs>
          <w:tab w:val="left" w:pos="5710"/>
        </w:tabs>
        <w:ind w:firstLine="709"/>
        <w:jc w:val="both"/>
        <w:rPr>
          <w:sz w:val="22"/>
          <w:szCs w:val="22"/>
          <w:lang w:val="en-US"/>
        </w:rPr>
      </w:pPr>
      <w:r w:rsidRPr="00474548">
        <w:rPr>
          <w:sz w:val="22"/>
          <w:szCs w:val="22"/>
          <w:lang w:val="en-US"/>
        </w:rPr>
        <w:t xml:space="preserve">For the evaluation of RR through its </w:t>
      </w:r>
      <w:r w:rsidR="00B55B16" w:rsidRPr="00474548">
        <w:rPr>
          <w:sz w:val="22"/>
          <w:szCs w:val="22"/>
          <w:lang w:val="en-US"/>
        </w:rPr>
        <w:t>c</w:t>
      </w:r>
      <w:r w:rsidR="009F2C79" w:rsidRPr="00474548">
        <w:rPr>
          <w:sz w:val="22"/>
          <w:szCs w:val="22"/>
          <w:lang w:val="en-US"/>
        </w:rPr>
        <w:t xml:space="preserve">ontent </w:t>
      </w:r>
      <w:r w:rsidR="00B55B16" w:rsidRPr="00474548">
        <w:rPr>
          <w:sz w:val="22"/>
          <w:szCs w:val="22"/>
          <w:lang w:val="en-US"/>
        </w:rPr>
        <w:t>i</w:t>
      </w:r>
      <w:r w:rsidRPr="00474548">
        <w:rPr>
          <w:sz w:val="22"/>
          <w:szCs w:val="22"/>
          <w:lang w:val="en-US"/>
        </w:rPr>
        <w:t>ntensity, the events captured as Markov Regimes were categorized into three groups according to their nature: (</w:t>
      </w:r>
      <w:proofErr w:type="spellStart"/>
      <w:r w:rsidRPr="00474548">
        <w:rPr>
          <w:sz w:val="22"/>
          <w:szCs w:val="22"/>
          <w:lang w:val="en-US"/>
        </w:rPr>
        <w:t>i</w:t>
      </w:r>
      <w:proofErr w:type="spellEnd"/>
      <w:r w:rsidRPr="00474548">
        <w:rPr>
          <w:sz w:val="22"/>
          <w:szCs w:val="22"/>
          <w:lang w:val="en-US"/>
        </w:rPr>
        <w:t xml:space="preserve">) </w:t>
      </w:r>
      <w:r w:rsidR="00224B54" w:rsidRPr="00474548">
        <w:rPr>
          <w:sz w:val="22"/>
          <w:szCs w:val="22"/>
          <w:lang w:val="en-US"/>
        </w:rPr>
        <w:t>Provisional Measures/Laws</w:t>
      </w:r>
      <w:r w:rsidRPr="00474548">
        <w:rPr>
          <w:sz w:val="22"/>
          <w:szCs w:val="22"/>
          <w:lang w:val="en-US"/>
        </w:rPr>
        <w:t xml:space="preserve">; (ii) Other </w:t>
      </w:r>
      <w:r w:rsidR="00224B54" w:rsidRPr="00474548">
        <w:rPr>
          <w:sz w:val="22"/>
          <w:szCs w:val="22"/>
          <w:lang w:val="en-US"/>
        </w:rPr>
        <w:t xml:space="preserve">Significant </w:t>
      </w:r>
      <w:r w:rsidR="00192075" w:rsidRPr="00474548">
        <w:rPr>
          <w:sz w:val="22"/>
          <w:szCs w:val="22"/>
          <w:lang w:val="en-US"/>
        </w:rPr>
        <w:t>RC</w:t>
      </w:r>
      <w:r w:rsidR="009F2C79" w:rsidRPr="00474548">
        <w:rPr>
          <w:sz w:val="22"/>
          <w:szCs w:val="22"/>
          <w:lang w:val="en-US"/>
        </w:rPr>
        <w:t xml:space="preserve"> </w:t>
      </w:r>
      <w:r w:rsidRPr="00474548">
        <w:rPr>
          <w:sz w:val="22"/>
          <w:szCs w:val="22"/>
          <w:lang w:val="en-US"/>
        </w:rPr>
        <w:t>Events; and (iii) Other Regulatory Events.</w:t>
      </w:r>
    </w:p>
    <w:p w14:paraId="757851D7" w14:textId="66B0E49A" w:rsidR="005B605A" w:rsidRPr="00474548" w:rsidRDefault="005B605A" w:rsidP="008E6F8E">
      <w:pPr>
        <w:tabs>
          <w:tab w:val="left" w:pos="5710"/>
        </w:tabs>
        <w:ind w:firstLine="709"/>
        <w:jc w:val="both"/>
        <w:rPr>
          <w:sz w:val="22"/>
          <w:szCs w:val="22"/>
          <w:lang w:val="en-US"/>
        </w:rPr>
      </w:pPr>
      <w:r w:rsidRPr="00474548">
        <w:rPr>
          <w:sz w:val="22"/>
          <w:szCs w:val="22"/>
          <w:lang w:val="en-US"/>
        </w:rPr>
        <w:t>For the analysis of the intensity of the RC, the first two groups</w:t>
      </w:r>
      <w:r w:rsidR="00150950" w:rsidRPr="00474548">
        <w:rPr>
          <w:sz w:val="22"/>
          <w:szCs w:val="22"/>
          <w:lang w:val="en-US"/>
        </w:rPr>
        <w:t>, Provisional</w:t>
      </w:r>
      <w:r w:rsidRPr="00474548">
        <w:rPr>
          <w:sz w:val="22"/>
          <w:szCs w:val="22"/>
          <w:lang w:val="en-US"/>
        </w:rPr>
        <w:t xml:space="preserve"> Measures/Laws and Other </w:t>
      </w:r>
      <w:r w:rsidR="00224B54" w:rsidRPr="00474548">
        <w:rPr>
          <w:sz w:val="22"/>
          <w:szCs w:val="22"/>
          <w:lang w:val="en-US"/>
        </w:rPr>
        <w:t>Significant</w:t>
      </w:r>
      <w:r w:rsidRPr="00474548">
        <w:rPr>
          <w:sz w:val="22"/>
          <w:szCs w:val="22"/>
          <w:lang w:val="en-US"/>
        </w:rPr>
        <w:t xml:space="preserve"> RC </w:t>
      </w:r>
      <w:r w:rsidR="00812573" w:rsidRPr="00474548">
        <w:rPr>
          <w:sz w:val="22"/>
          <w:szCs w:val="22"/>
          <w:lang w:val="en-US"/>
        </w:rPr>
        <w:t xml:space="preserve">Events </w:t>
      </w:r>
      <w:r w:rsidRPr="00474548">
        <w:rPr>
          <w:sz w:val="22"/>
          <w:szCs w:val="22"/>
          <w:lang w:val="en-US"/>
        </w:rPr>
        <w:t xml:space="preserve">were </w:t>
      </w:r>
      <w:r w:rsidR="00FB416C" w:rsidRPr="00474548">
        <w:rPr>
          <w:sz w:val="22"/>
          <w:szCs w:val="22"/>
          <w:lang w:val="en-US"/>
        </w:rPr>
        <w:t>analyzed</w:t>
      </w:r>
      <w:r w:rsidRPr="00474548">
        <w:rPr>
          <w:sz w:val="22"/>
          <w:szCs w:val="22"/>
          <w:lang w:val="en-US"/>
        </w:rPr>
        <w:t xml:space="preserve"> separately. The third group comprises Other Regulatory Events to cover </w:t>
      </w:r>
      <w:r w:rsidR="00FB416C" w:rsidRPr="00474548">
        <w:rPr>
          <w:sz w:val="22"/>
          <w:szCs w:val="22"/>
          <w:lang w:val="en-US"/>
        </w:rPr>
        <w:t xml:space="preserve">the </w:t>
      </w:r>
      <w:r w:rsidRPr="00474548">
        <w:rPr>
          <w:sz w:val="22"/>
          <w:szCs w:val="22"/>
          <w:lang w:val="en-US"/>
        </w:rPr>
        <w:t xml:space="preserve">events that do not have </w:t>
      </w:r>
      <w:r w:rsidR="00276EEE" w:rsidRPr="00474548">
        <w:rPr>
          <w:sz w:val="22"/>
          <w:szCs w:val="22"/>
          <w:lang w:val="en-US"/>
        </w:rPr>
        <w:t>RC</w:t>
      </w:r>
      <w:r w:rsidRPr="00474548">
        <w:rPr>
          <w:sz w:val="22"/>
          <w:szCs w:val="22"/>
          <w:lang w:val="en-US"/>
        </w:rPr>
        <w:t xml:space="preserve"> amenable to quantification</w:t>
      </w:r>
      <w:r w:rsidR="00B9165B" w:rsidRPr="00474548">
        <w:rPr>
          <w:sz w:val="22"/>
          <w:szCs w:val="22"/>
          <w:lang w:val="en-US"/>
        </w:rPr>
        <w:t xml:space="preserve">; </w:t>
      </w:r>
      <w:r w:rsidRPr="00474548">
        <w:rPr>
          <w:sz w:val="22"/>
          <w:szCs w:val="22"/>
          <w:lang w:val="en-US"/>
        </w:rPr>
        <w:t>these were considered only to identify the possible presence of RR.</w:t>
      </w:r>
    </w:p>
    <w:p w14:paraId="23E89161" w14:textId="7B58DE6A" w:rsidR="005B605A" w:rsidRPr="00474548" w:rsidRDefault="005B605A" w:rsidP="008E6F8E">
      <w:pPr>
        <w:tabs>
          <w:tab w:val="left" w:pos="5710"/>
        </w:tabs>
        <w:ind w:firstLine="709"/>
        <w:jc w:val="both"/>
        <w:rPr>
          <w:sz w:val="22"/>
          <w:szCs w:val="22"/>
          <w:lang w:val="en-US"/>
        </w:rPr>
      </w:pPr>
      <w:r w:rsidRPr="00474548">
        <w:rPr>
          <w:sz w:val="22"/>
          <w:szCs w:val="22"/>
          <w:lang w:val="en-US"/>
        </w:rPr>
        <w:t>Thus</w:t>
      </w:r>
      <w:r w:rsidR="00B9165B" w:rsidRPr="00474548">
        <w:rPr>
          <w:sz w:val="22"/>
          <w:szCs w:val="22"/>
          <w:lang w:val="en-US"/>
        </w:rPr>
        <w:t>,</w:t>
      </w:r>
      <w:r w:rsidRPr="00474548">
        <w:rPr>
          <w:sz w:val="22"/>
          <w:szCs w:val="22"/>
          <w:lang w:val="en-US"/>
        </w:rPr>
        <w:t xml:space="preserve"> the original content of the </w:t>
      </w:r>
      <w:r w:rsidR="00224B54" w:rsidRPr="00474548">
        <w:rPr>
          <w:sz w:val="22"/>
          <w:szCs w:val="22"/>
          <w:lang w:val="en-US"/>
        </w:rPr>
        <w:t xml:space="preserve">components </w:t>
      </w:r>
      <w:r w:rsidRPr="00474548">
        <w:rPr>
          <w:sz w:val="22"/>
          <w:szCs w:val="22"/>
          <w:lang w:val="en-US"/>
        </w:rPr>
        <w:t xml:space="preserve">that make up the first two groups was selected and </w:t>
      </w:r>
      <w:r w:rsidR="00FB416C" w:rsidRPr="00474548">
        <w:rPr>
          <w:sz w:val="22"/>
          <w:szCs w:val="22"/>
          <w:lang w:val="en-US"/>
        </w:rPr>
        <w:t>analyzed</w:t>
      </w:r>
      <w:r w:rsidRPr="00474548">
        <w:rPr>
          <w:sz w:val="22"/>
          <w:szCs w:val="22"/>
          <w:lang w:val="en-US"/>
        </w:rPr>
        <w:t xml:space="preserve"> by the </w:t>
      </w:r>
      <w:r w:rsidRPr="00474548">
        <w:rPr>
          <w:i/>
          <w:sz w:val="22"/>
          <w:szCs w:val="22"/>
          <w:lang w:val="en-US"/>
        </w:rPr>
        <w:t>Text Analysis</w:t>
      </w:r>
      <w:r w:rsidRPr="00474548">
        <w:rPr>
          <w:sz w:val="22"/>
          <w:szCs w:val="22"/>
          <w:lang w:val="en-US"/>
        </w:rPr>
        <w:t xml:space="preserve"> program, available </w:t>
      </w:r>
      <w:r w:rsidR="002E7C86" w:rsidRPr="00474548">
        <w:rPr>
          <w:sz w:val="22"/>
          <w:szCs w:val="22"/>
          <w:lang w:val="en-US"/>
        </w:rPr>
        <w:t xml:space="preserve">at </w:t>
      </w:r>
      <w:r w:rsidRPr="00474548">
        <w:rPr>
          <w:sz w:val="22"/>
          <w:szCs w:val="22"/>
          <w:lang w:val="en-US"/>
        </w:rPr>
        <w:t xml:space="preserve">the </w:t>
      </w:r>
      <w:r w:rsidR="002E7C86" w:rsidRPr="00474548">
        <w:rPr>
          <w:sz w:val="22"/>
          <w:szCs w:val="22"/>
          <w:lang w:val="en-US"/>
        </w:rPr>
        <w:t>website</w:t>
      </w:r>
      <w:r w:rsidRPr="00474548">
        <w:rPr>
          <w:color w:val="000000"/>
          <w:sz w:val="22"/>
          <w:szCs w:val="22"/>
          <w:lang w:val="en-US"/>
        </w:rPr>
        <w:t xml:space="preserve"> </w:t>
      </w:r>
      <w:hyperlink r:id="rId12">
        <w:r w:rsidRPr="00474548">
          <w:rPr>
            <w:rStyle w:val="Hyperlink"/>
            <w:sz w:val="22"/>
            <w:szCs w:val="22"/>
            <w:lang w:val="en-US"/>
          </w:rPr>
          <w:t>http://textalyser.net/</w:t>
        </w:r>
      </w:hyperlink>
      <w:r w:rsidRPr="00474548">
        <w:rPr>
          <w:color w:val="000000"/>
          <w:sz w:val="22"/>
          <w:szCs w:val="22"/>
          <w:lang w:val="en-US"/>
        </w:rPr>
        <w:t xml:space="preserve">. </w:t>
      </w:r>
      <w:r w:rsidRPr="00474548">
        <w:rPr>
          <w:sz w:val="22"/>
          <w:szCs w:val="22"/>
          <w:lang w:val="en-US"/>
        </w:rPr>
        <w:t>The terms or descriptors of greater occurrence in regulatory legislation were selected. Among the terms with the highest frequency, the use of synonyms in an approximate percentage of 15% was noted</w:t>
      </w:r>
      <w:r w:rsidR="002E7C86" w:rsidRPr="00474548">
        <w:rPr>
          <w:sz w:val="22"/>
          <w:szCs w:val="22"/>
          <w:lang w:val="en-US"/>
        </w:rPr>
        <w:t>.</w:t>
      </w:r>
      <w:r w:rsidRPr="00474548">
        <w:rPr>
          <w:sz w:val="22"/>
          <w:szCs w:val="22"/>
          <w:lang w:val="en-US"/>
        </w:rPr>
        <w:t xml:space="preserve"> The frequencies of the terms that presented the same meaning were carefully </w:t>
      </w:r>
      <w:r w:rsidR="00FB416C" w:rsidRPr="00474548">
        <w:rPr>
          <w:sz w:val="22"/>
          <w:szCs w:val="22"/>
          <w:lang w:val="en-US"/>
        </w:rPr>
        <w:t>totaled</w:t>
      </w:r>
      <w:r w:rsidRPr="00474548">
        <w:rPr>
          <w:sz w:val="22"/>
          <w:szCs w:val="22"/>
          <w:lang w:val="en-US"/>
        </w:rPr>
        <w:t xml:space="preserve">. </w:t>
      </w:r>
    </w:p>
    <w:p w14:paraId="29CE4632" w14:textId="77777777" w:rsidR="00FC75F3" w:rsidRPr="00474548" w:rsidRDefault="00FC75F3" w:rsidP="008E6F8E">
      <w:pPr>
        <w:tabs>
          <w:tab w:val="left" w:pos="5710"/>
        </w:tabs>
        <w:ind w:firstLine="709"/>
        <w:jc w:val="both"/>
        <w:rPr>
          <w:sz w:val="22"/>
          <w:szCs w:val="22"/>
          <w:lang w:val="en-US"/>
        </w:rPr>
      </w:pPr>
    </w:p>
    <w:p w14:paraId="32C38C39" w14:textId="4F4A7D80" w:rsidR="00056230" w:rsidRPr="00474548" w:rsidRDefault="00056230" w:rsidP="00FC75F3">
      <w:pPr>
        <w:widowControl/>
        <w:suppressAutoHyphens w:val="0"/>
        <w:rPr>
          <w:rFonts w:eastAsiaTheme="minorEastAsia"/>
          <w:kern w:val="0"/>
          <w:sz w:val="22"/>
          <w:szCs w:val="22"/>
          <w:lang w:val="en-US"/>
        </w:rPr>
      </w:pPr>
      <w:r w:rsidRPr="00474548">
        <w:rPr>
          <w:rFonts w:eastAsiaTheme="minorEastAsia"/>
          <w:b/>
          <w:kern w:val="0"/>
          <w:sz w:val="22"/>
          <w:szCs w:val="22"/>
          <w:lang w:val="en-US"/>
        </w:rPr>
        <w:t xml:space="preserve">3.2 Theoretical model and research question </w:t>
      </w:r>
    </w:p>
    <w:p w14:paraId="723DE1C8" w14:textId="5D9A4B87" w:rsidR="000F7154" w:rsidRPr="00474548" w:rsidRDefault="00056230" w:rsidP="00D000CC">
      <w:pPr>
        <w:pStyle w:val="ListParagraph"/>
        <w:ind w:left="0" w:firstLine="708"/>
        <w:jc w:val="both"/>
        <w:rPr>
          <w:i/>
          <w:sz w:val="22"/>
          <w:szCs w:val="22"/>
          <w:lang w:val="en-US"/>
        </w:rPr>
      </w:pPr>
      <w:r w:rsidRPr="00474548">
        <w:rPr>
          <w:sz w:val="22"/>
          <w:szCs w:val="22"/>
          <w:lang w:val="en-US"/>
        </w:rPr>
        <w:t xml:space="preserve">The systematic review technique </w:t>
      </w:r>
      <w:r w:rsidR="002E7C86" w:rsidRPr="00474548">
        <w:rPr>
          <w:sz w:val="22"/>
          <w:szCs w:val="22"/>
          <w:lang w:val="en-US"/>
        </w:rPr>
        <w:t xml:space="preserve">was used </w:t>
      </w:r>
      <w:r w:rsidRPr="00474548">
        <w:rPr>
          <w:sz w:val="22"/>
          <w:szCs w:val="22"/>
          <w:lang w:val="en-US"/>
        </w:rPr>
        <w:t xml:space="preserve">for this </w:t>
      </w:r>
      <w:r w:rsidR="001847D6" w:rsidRPr="00474548">
        <w:rPr>
          <w:sz w:val="22"/>
          <w:szCs w:val="22"/>
          <w:lang w:val="en-US"/>
        </w:rPr>
        <w:t>study</w:t>
      </w:r>
      <w:r w:rsidRPr="00474548">
        <w:rPr>
          <w:sz w:val="22"/>
          <w:szCs w:val="22"/>
          <w:lang w:val="en-US"/>
        </w:rPr>
        <w:t xml:space="preserve">. This </w:t>
      </w:r>
      <w:r w:rsidR="001847D6" w:rsidRPr="00474548">
        <w:rPr>
          <w:sz w:val="22"/>
          <w:szCs w:val="22"/>
          <w:lang w:val="en-US"/>
        </w:rPr>
        <w:t xml:space="preserve">includes </w:t>
      </w:r>
      <w:r w:rsidRPr="00474548">
        <w:rPr>
          <w:sz w:val="22"/>
          <w:szCs w:val="22"/>
          <w:lang w:val="en-US"/>
        </w:rPr>
        <w:t xml:space="preserve">a bibliographic review that follows a plan to answer a predefined question and uses methods outlined systematically to search, </w:t>
      </w:r>
      <w:r w:rsidR="00FB416C" w:rsidRPr="00474548">
        <w:rPr>
          <w:sz w:val="22"/>
          <w:szCs w:val="22"/>
          <w:lang w:val="en-US"/>
        </w:rPr>
        <w:t>analyze,</w:t>
      </w:r>
      <w:r w:rsidR="002E7C86" w:rsidRPr="00474548">
        <w:rPr>
          <w:sz w:val="22"/>
          <w:szCs w:val="22"/>
          <w:lang w:val="en-US"/>
        </w:rPr>
        <w:t xml:space="preserve"> </w:t>
      </w:r>
      <w:r w:rsidRPr="00474548">
        <w:rPr>
          <w:sz w:val="22"/>
          <w:szCs w:val="22"/>
          <w:lang w:val="en-US"/>
        </w:rPr>
        <w:t xml:space="preserve">and </w:t>
      </w:r>
      <w:r w:rsidR="002E7C86" w:rsidRPr="00474548">
        <w:rPr>
          <w:sz w:val="22"/>
          <w:szCs w:val="22"/>
          <w:lang w:val="en-US"/>
        </w:rPr>
        <w:t xml:space="preserve">evaluate </w:t>
      </w:r>
      <w:r w:rsidRPr="00474548">
        <w:rPr>
          <w:sz w:val="22"/>
          <w:szCs w:val="22"/>
          <w:lang w:val="en-US"/>
        </w:rPr>
        <w:t>studies of a given subject (Castro, 2010). In addition, based on</w:t>
      </w:r>
      <w:r w:rsidR="00FB416C" w:rsidRPr="00474548">
        <w:rPr>
          <w:sz w:val="22"/>
          <w:szCs w:val="22"/>
          <w:lang w:val="en-US"/>
        </w:rPr>
        <w:t xml:space="preserve"> the research by</w:t>
      </w:r>
      <w:r w:rsidRPr="00474548">
        <w:rPr>
          <w:sz w:val="22"/>
          <w:szCs w:val="22"/>
          <w:lang w:val="en-US"/>
        </w:rPr>
        <w:t xml:space="preserve"> </w:t>
      </w:r>
      <w:proofErr w:type="spellStart"/>
      <w:r w:rsidRPr="00474548">
        <w:rPr>
          <w:sz w:val="22"/>
          <w:szCs w:val="22"/>
          <w:lang w:val="en-US"/>
        </w:rPr>
        <w:t>Sampaio</w:t>
      </w:r>
      <w:proofErr w:type="spellEnd"/>
      <w:r w:rsidRPr="00474548">
        <w:rPr>
          <w:sz w:val="22"/>
          <w:szCs w:val="22"/>
          <w:lang w:val="en-US"/>
        </w:rPr>
        <w:t xml:space="preserve"> and Mancini (2007), the systematic review </w:t>
      </w:r>
      <w:r w:rsidR="00FB416C" w:rsidRPr="00474548">
        <w:rPr>
          <w:sz w:val="22"/>
          <w:szCs w:val="22"/>
          <w:lang w:val="en-US"/>
        </w:rPr>
        <w:t>follows</w:t>
      </w:r>
      <w:r w:rsidRPr="00474548">
        <w:rPr>
          <w:sz w:val="22"/>
          <w:szCs w:val="22"/>
          <w:lang w:val="en-US"/>
        </w:rPr>
        <w:t xml:space="preserve"> a clear and objective question, with an appropriate definition for bibliographic search, adequacy of inclusion and exclusion criteria of works already done on the subject</w:t>
      </w:r>
      <w:r w:rsidR="00FB416C" w:rsidRPr="00474548">
        <w:rPr>
          <w:sz w:val="22"/>
          <w:szCs w:val="22"/>
          <w:lang w:val="en-US"/>
        </w:rPr>
        <w:t>,</w:t>
      </w:r>
      <w:r w:rsidRPr="00474548">
        <w:rPr>
          <w:sz w:val="22"/>
          <w:szCs w:val="22"/>
          <w:lang w:val="en-US"/>
        </w:rPr>
        <w:t xml:space="preserve"> and a critical analysis of the selected material. Within this context, to </w:t>
      </w:r>
      <w:r w:rsidR="00FB416C" w:rsidRPr="00474548">
        <w:rPr>
          <w:sz w:val="22"/>
          <w:szCs w:val="22"/>
          <w:lang w:val="en-US"/>
        </w:rPr>
        <w:t xml:space="preserve">simultaneously </w:t>
      </w:r>
      <w:r w:rsidRPr="00474548">
        <w:rPr>
          <w:sz w:val="22"/>
          <w:szCs w:val="22"/>
          <w:lang w:val="en-US"/>
        </w:rPr>
        <w:t xml:space="preserve">assess </w:t>
      </w:r>
      <w:r w:rsidR="001634C9" w:rsidRPr="00474548">
        <w:rPr>
          <w:sz w:val="22"/>
          <w:szCs w:val="22"/>
          <w:lang w:val="en-US"/>
        </w:rPr>
        <w:t xml:space="preserve">the </w:t>
      </w:r>
      <w:r w:rsidR="00276EEE" w:rsidRPr="00474548">
        <w:rPr>
          <w:sz w:val="22"/>
          <w:szCs w:val="22"/>
          <w:lang w:val="en-US"/>
        </w:rPr>
        <w:t>RC</w:t>
      </w:r>
      <w:r w:rsidRPr="00474548">
        <w:rPr>
          <w:sz w:val="22"/>
          <w:szCs w:val="22"/>
          <w:lang w:val="en-US"/>
        </w:rPr>
        <w:t xml:space="preserve">'s intensity and make inferences regarding the risk, this study examined the following research question: </w:t>
      </w:r>
      <w:r w:rsidR="002E7C86" w:rsidRPr="00474548">
        <w:rPr>
          <w:i/>
          <w:sz w:val="22"/>
          <w:szCs w:val="22"/>
          <w:lang w:val="en-US"/>
        </w:rPr>
        <w:t xml:space="preserve">Does the </w:t>
      </w:r>
      <w:r w:rsidR="001847D6" w:rsidRPr="00474548">
        <w:rPr>
          <w:i/>
          <w:sz w:val="22"/>
          <w:szCs w:val="22"/>
          <w:lang w:val="en-US"/>
        </w:rPr>
        <w:t xml:space="preserve">RC </w:t>
      </w:r>
      <w:r w:rsidRPr="00474548">
        <w:rPr>
          <w:i/>
          <w:sz w:val="22"/>
          <w:szCs w:val="22"/>
          <w:lang w:val="en-US"/>
        </w:rPr>
        <w:t>intensity</w:t>
      </w:r>
      <w:r w:rsidR="009F2C79" w:rsidRPr="00474548">
        <w:rPr>
          <w:i/>
          <w:sz w:val="22"/>
          <w:szCs w:val="22"/>
          <w:lang w:val="en-US"/>
        </w:rPr>
        <w:t xml:space="preserve"> </w:t>
      </w:r>
      <w:r w:rsidR="002E7C86" w:rsidRPr="00474548">
        <w:rPr>
          <w:i/>
          <w:sz w:val="22"/>
          <w:szCs w:val="22"/>
          <w:lang w:val="en-US"/>
        </w:rPr>
        <w:t>have a different impact on</w:t>
      </w:r>
      <w:r w:rsidRPr="00474548">
        <w:rPr>
          <w:i/>
          <w:sz w:val="22"/>
          <w:szCs w:val="22"/>
          <w:lang w:val="en-US"/>
        </w:rPr>
        <w:t xml:space="preserve"> the risk of company shares of the Brazilian </w:t>
      </w:r>
      <w:r w:rsidR="00192075" w:rsidRPr="00474548">
        <w:rPr>
          <w:i/>
          <w:sz w:val="22"/>
          <w:szCs w:val="22"/>
          <w:lang w:val="en-US"/>
        </w:rPr>
        <w:t>e</w:t>
      </w:r>
      <w:r w:rsidRPr="00474548">
        <w:rPr>
          <w:i/>
          <w:sz w:val="22"/>
          <w:szCs w:val="22"/>
          <w:lang w:val="en-US"/>
        </w:rPr>
        <w:t>lectric</w:t>
      </w:r>
      <w:r w:rsidR="00162168" w:rsidRPr="00474548">
        <w:rPr>
          <w:i/>
          <w:sz w:val="22"/>
          <w:szCs w:val="22"/>
          <w:lang w:val="en-US"/>
        </w:rPr>
        <w:t>ity</w:t>
      </w:r>
      <w:r w:rsidRPr="00474548">
        <w:rPr>
          <w:i/>
          <w:sz w:val="22"/>
          <w:szCs w:val="22"/>
          <w:lang w:val="en-US"/>
        </w:rPr>
        <w:t xml:space="preserve"> </w:t>
      </w:r>
      <w:r w:rsidR="00192075" w:rsidRPr="00474548">
        <w:rPr>
          <w:i/>
          <w:sz w:val="22"/>
          <w:szCs w:val="22"/>
          <w:lang w:val="en-US"/>
        </w:rPr>
        <w:t>e</w:t>
      </w:r>
      <w:r w:rsidRPr="00474548">
        <w:rPr>
          <w:i/>
          <w:sz w:val="22"/>
          <w:szCs w:val="22"/>
          <w:lang w:val="en-US"/>
        </w:rPr>
        <w:t xml:space="preserve">nergy </w:t>
      </w:r>
      <w:r w:rsidR="00192075" w:rsidRPr="00474548">
        <w:rPr>
          <w:i/>
          <w:sz w:val="22"/>
          <w:szCs w:val="22"/>
          <w:lang w:val="en-US"/>
        </w:rPr>
        <w:t>s</w:t>
      </w:r>
      <w:r w:rsidRPr="00474548">
        <w:rPr>
          <w:i/>
          <w:sz w:val="22"/>
          <w:szCs w:val="22"/>
          <w:lang w:val="en-US"/>
        </w:rPr>
        <w:t>ector?</w:t>
      </w:r>
    </w:p>
    <w:p w14:paraId="4B0B9FFB" w14:textId="77777777" w:rsidR="000F7154" w:rsidRPr="00474548" w:rsidRDefault="000F7154" w:rsidP="000F7154"/>
    <w:p w14:paraId="155383DC" w14:textId="40492548" w:rsidR="005B605A" w:rsidRPr="00474548" w:rsidRDefault="00552608" w:rsidP="008E6F8E">
      <w:pPr>
        <w:pStyle w:val="Subtitle"/>
        <w:rPr>
          <w:rFonts w:ascii="Times New Roman" w:hAnsi="Times New Roman"/>
          <w:b/>
          <w:sz w:val="22"/>
          <w:szCs w:val="22"/>
          <w:lang w:val="en-US"/>
        </w:rPr>
      </w:pPr>
      <w:r w:rsidRPr="00474548">
        <w:rPr>
          <w:rFonts w:ascii="Times New Roman" w:hAnsi="Times New Roman"/>
          <w:b/>
          <w:sz w:val="22"/>
          <w:szCs w:val="22"/>
          <w:lang w:val="en-US"/>
        </w:rPr>
        <w:t>4 PRESENTATION, ANALYSIS</w:t>
      </w:r>
      <w:r w:rsidR="00FB416C" w:rsidRPr="00474548">
        <w:rPr>
          <w:rFonts w:ascii="Times New Roman" w:hAnsi="Times New Roman"/>
          <w:b/>
          <w:sz w:val="22"/>
          <w:szCs w:val="22"/>
          <w:lang w:val="en-US"/>
        </w:rPr>
        <w:t>,</w:t>
      </w:r>
      <w:r w:rsidRPr="00474548">
        <w:rPr>
          <w:rFonts w:ascii="Times New Roman" w:hAnsi="Times New Roman"/>
          <w:b/>
          <w:sz w:val="22"/>
          <w:szCs w:val="22"/>
          <w:lang w:val="en-US"/>
        </w:rPr>
        <w:t xml:space="preserve"> AND DISCUSSION OF THE RESULTS</w:t>
      </w:r>
    </w:p>
    <w:p w14:paraId="790F06E5" w14:textId="61329FC4" w:rsidR="00BC3904" w:rsidRPr="00474548" w:rsidRDefault="001F5B4D" w:rsidP="008E6F8E">
      <w:pPr>
        <w:pStyle w:val="ListParagraph"/>
        <w:ind w:left="0" w:firstLine="708"/>
        <w:jc w:val="both"/>
        <w:rPr>
          <w:i/>
          <w:sz w:val="22"/>
          <w:szCs w:val="22"/>
          <w:lang w:val="en-US"/>
        </w:rPr>
      </w:pPr>
      <w:r w:rsidRPr="00474548">
        <w:rPr>
          <w:i/>
          <w:sz w:val="22"/>
          <w:szCs w:val="22"/>
          <w:lang w:val="en-US"/>
        </w:rPr>
        <w:t xml:space="preserve">Does the </w:t>
      </w:r>
      <w:r w:rsidR="001C7A79" w:rsidRPr="00474548">
        <w:rPr>
          <w:i/>
          <w:sz w:val="22"/>
          <w:szCs w:val="22"/>
          <w:lang w:val="en-US"/>
        </w:rPr>
        <w:t xml:space="preserve">RC </w:t>
      </w:r>
      <w:r w:rsidR="00BC3904" w:rsidRPr="00474548">
        <w:rPr>
          <w:i/>
          <w:sz w:val="22"/>
          <w:szCs w:val="22"/>
          <w:lang w:val="en-US"/>
        </w:rPr>
        <w:t>intensity</w:t>
      </w:r>
      <w:r w:rsidR="009F2C79" w:rsidRPr="00474548">
        <w:rPr>
          <w:i/>
          <w:sz w:val="22"/>
          <w:szCs w:val="22"/>
          <w:lang w:val="en-US"/>
        </w:rPr>
        <w:t xml:space="preserve"> </w:t>
      </w:r>
      <w:r w:rsidRPr="00474548">
        <w:rPr>
          <w:i/>
          <w:sz w:val="22"/>
          <w:szCs w:val="22"/>
          <w:lang w:val="en-US"/>
        </w:rPr>
        <w:t>have a different impact o</w:t>
      </w:r>
      <w:r w:rsidR="00BC3904" w:rsidRPr="00474548">
        <w:rPr>
          <w:i/>
          <w:sz w:val="22"/>
          <w:szCs w:val="22"/>
          <w:lang w:val="en-US"/>
        </w:rPr>
        <w:t xml:space="preserve">n the risk of company shares </w:t>
      </w:r>
      <w:r w:rsidR="00233823" w:rsidRPr="00474548">
        <w:rPr>
          <w:i/>
          <w:sz w:val="22"/>
          <w:szCs w:val="22"/>
          <w:lang w:val="en-US"/>
        </w:rPr>
        <w:t xml:space="preserve">in </w:t>
      </w:r>
      <w:r w:rsidR="00BC3904" w:rsidRPr="00474548">
        <w:rPr>
          <w:i/>
          <w:sz w:val="22"/>
          <w:szCs w:val="22"/>
          <w:lang w:val="en-US"/>
        </w:rPr>
        <w:t xml:space="preserve">the Brazilian </w:t>
      </w:r>
      <w:r w:rsidR="00192075" w:rsidRPr="00474548">
        <w:rPr>
          <w:i/>
          <w:sz w:val="22"/>
          <w:szCs w:val="22"/>
          <w:lang w:val="en-US"/>
        </w:rPr>
        <w:t>e</w:t>
      </w:r>
      <w:r w:rsidR="00BC3904" w:rsidRPr="00474548">
        <w:rPr>
          <w:i/>
          <w:sz w:val="22"/>
          <w:szCs w:val="22"/>
          <w:lang w:val="en-US"/>
        </w:rPr>
        <w:t>lectric</w:t>
      </w:r>
      <w:r w:rsidR="00162168" w:rsidRPr="00474548">
        <w:rPr>
          <w:i/>
          <w:sz w:val="22"/>
          <w:szCs w:val="22"/>
          <w:lang w:val="en-US"/>
        </w:rPr>
        <w:t>ity</w:t>
      </w:r>
      <w:r w:rsidR="00BC3904" w:rsidRPr="00474548">
        <w:rPr>
          <w:i/>
          <w:sz w:val="22"/>
          <w:szCs w:val="22"/>
          <w:lang w:val="en-US"/>
        </w:rPr>
        <w:t xml:space="preserve"> </w:t>
      </w:r>
      <w:r w:rsidR="00192075" w:rsidRPr="00474548">
        <w:rPr>
          <w:i/>
          <w:sz w:val="22"/>
          <w:szCs w:val="22"/>
          <w:lang w:val="en-US"/>
        </w:rPr>
        <w:t>e</w:t>
      </w:r>
      <w:r w:rsidR="00BC3904" w:rsidRPr="00474548">
        <w:rPr>
          <w:i/>
          <w:sz w:val="22"/>
          <w:szCs w:val="22"/>
          <w:lang w:val="en-US"/>
        </w:rPr>
        <w:t xml:space="preserve">nergy </w:t>
      </w:r>
      <w:r w:rsidR="00192075" w:rsidRPr="00474548">
        <w:rPr>
          <w:i/>
          <w:sz w:val="22"/>
          <w:szCs w:val="22"/>
          <w:lang w:val="en-US"/>
        </w:rPr>
        <w:t>s</w:t>
      </w:r>
      <w:r w:rsidR="00BC3904" w:rsidRPr="00474548">
        <w:rPr>
          <w:i/>
          <w:sz w:val="22"/>
          <w:szCs w:val="22"/>
          <w:lang w:val="en-US"/>
        </w:rPr>
        <w:t>ector?</w:t>
      </w:r>
    </w:p>
    <w:p w14:paraId="3FF64219" w14:textId="2F6AA2BB" w:rsidR="005B605A" w:rsidRPr="00474548" w:rsidRDefault="00BC3904" w:rsidP="008E6F8E">
      <w:pPr>
        <w:pStyle w:val="ListParagraph"/>
        <w:ind w:left="0" w:firstLine="708"/>
        <w:jc w:val="both"/>
        <w:rPr>
          <w:i/>
          <w:sz w:val="22"/>
          <w:szCs w:val="22"/>
          <w:lang w:val="en-US"/>
        </w:rPr>
      </w:pPr>
      <w:r w:rsidRPr="00474548">
        <w:rPr>
          <w:sz w:val="22"/>
          <w:szCs w:val="22"/>
          <w:lang w:val="en-US"/>
        </w:rPr>
        <w:t>The development and sustainability of regulatory skills are essential</w:t>
      </w:r>
      <w:r w:rsidR="001C7A79" w:rsidRPr="00474548">
        <w:rPr>
          <w:sz w:val="22"/>
          <w:szCs w:val="22"/>
          <w:lang w:val="en-US"/>
        </w:rPr>
        <w:t xml:space="preserve"> </w:t>
      </w:r>
      <w:r w:rsidRPr="00474548">
        <w:rPr>
          <w:sz w:val="22"/>
          <w:szCs w:val="22"/>
          <w:lang w:val="en-US"/>
        </w:rPr>
        <w:t xml:space="preserve">for </w:t>
      </w:r>
      <w:r w:rsidR="001C7A79" w:rsidRPr="00474548">
        <w:rPr>
          <w:sz w:val="22"/>
          <w:szCs w:val="22"/>
          <w:lang w:val="en-US"/>
        </w:rPr>
        <w:t xml:space="preserve">both public </w:t>
      </w:r>
      <w:r w:rsidRPr="00474548">
        <w:rPr>
          <w:sz w:val="22"/>
          <w:szCs w:val="22"/>
          <w:lang w:val="en-US"/>
        </w:rPr>
        <w:t xml:space="preserve">and private companies that compete </w:t>
      </w:r>
      <w:r w:rsidR="001F5B4D" w:rsidRPr="00474548">
        <w:rPr>
          <w:sz w:val="22"/>
          <w:szCs w:val="22"/>
          <w:lang w:val="en-US"/>
        </w:rPr>
        <w:t>on</w:t>
      </w:r>
      <w:r w:rsidRPr="00474548">
        <w:rPr>
          <w:sz w:val="22"/>
          <w:szCs w:val="22"/>
          <w:lang w:val="en-US"/>
        </w:rPr>
        <w:t xml:space="preserve"> </w:t>
      </w:r>
      <w:r w:rsidR="00C10D4D" w:rsidRPr="00474548">
        <w:rPr>
          <w:sz w:val="22"/>
          <w:szCs w:val="22"/>
          <w:lang w:val="en-US"/>
        </w:rPr>
        <w:t xml:space="preserve">the basis of </w:t>
      </w:r>
      <w:r w:rsidRPr="00474548">
        <w:rPr>
          <w:sz w:val="22"/>
          <w:szCs w:val="22"/>
          <w:lang w:val="en-US"/>
        </w:rPr>
        <w:t xml:space="preserve">competitive advantage (Porter, 2000), as is the case of the Brazilian electricity market. While government regulation assumes market power, it also has the potential to generate positive effects from the social point of view. </w:t>
      </w:r>
      <w:r w:rsidR="00C10D4D" w:rsidRPr="00474548">
        <w:rPr>
          <w:sz w:val="22"/>
          <w:szCs w:val="22"/>
          <w:lang w:val="en-US"/>
        </w:rPr>
        <w:t>Therefore, t</w:t>
      </w:r>
      <w:r w:rsidRPr="00474548">
        <w:rPr>
          <w:sz w:val="22"/>
          <w:szCs w:val="22"/>
          <w:lang w:val="en-US"/>
        </w:rPr>
        <w:t xml:space="preserve">he RC </w:t>
      </w:r>
      <w:r w:rsidR="001C7A79" w:rsidRPr="00474548">
        <w:rPr>
          <w:sz w:val="22"/>
          <w:szCs w:val="22"/>
          <w:lang w:val="en-US"/>
        </w:rPr>
        <w:t xml:space="preserve">in the </w:t>
      </w:r>
      <w:r w:rsidRPr="00474548">
        <w:rPr>
          <w:sz w:val="22"/>
          <w:szCs w:val="22"/>
          <w:lang w:val="en-US"/>
        </w:rPr>
        <w:t xml:space="preserve">energy sector tries </w:t>
      </w:r>
      <w:r w:rsidR="00233823" w:rsidRPr="00474548">
        <w:rPr>
          <w:sz w:val="22"/>
          <w:szCs w:val="22"/>
          <w:lang w:val="en-US"/>
        </w:rPr>
        <w:t>to</w:t>
      </w:r>
      <w:r w:rsidRPr="00474548">
        <w:rPr>
          <w:sz w:val="22"/>
          <w:szCs w:val="22"/>
          <w:lang w:val="en-US"/>
        </w:rPr>
        <w:t xml:space="preserve"> counterbalance this power of the sector's private companies without losing </w:t>
      </w:r>
      <w:r w:rsidR="00233823" w:rsidRPr="00474548">
        <w:rPr>
          <w:sz w:val="22"/>
          <w:szCs w:val="22"/>
          <w:lang w:val="en-US"/>
        </w:rPr>
        <w:t xml:space="preserve">its associated </w:t>
      </w:r>
      <w:r w:rsidRPr="00474548">
        <w:rPr>
          <w:sz w:val="22"/>
          <w:szCs w:val="22"/>
          <w:lang w:val="en-US"/>
        </w:rPr>
        <w:t xml:space="preserve">positive aspects. The relevant question is to identify the most appropriate and effective policy instruments to achieve </w:t>
      </w:r>
      <w:r w:rsidR="00233823" w:rsidRPr="00474548">
        <w:rPr>
          <w:sz w:val="22"/>
          <w:szCs w:val="22"/>
          <w:lang w:val="en-US"/>
        </w:rPr>
        <w:t>equilibrium</w:t>
      </w:r>
      <w:r w:rsidRPr="00474548">
        <w:rPr>
          <w:sz w:val="22"/>
          <w:szCs w:val="22"/>
          <w:lang w:val="en-US"/>
        </w:rPr>
        <w:t xml:space="preserve"> of risks in investors' shares. </w:t>
      </w:r>
      <w:r w:rsidR="00233823" w:rsidRPr="00474548">
        <w:rPr>
          <w:sz w:val="22"/>
          <w:szCs w:val="22"/>
          <w:lang w:val="en-US"/>
        </w:rPr>
        <w:t xml:space="preserve">Based on the statistical data, the </w:t>
      </w:r>
      <w:r w:rsidRPr="00474548">
        <w:rPr>
          <w:sz w:val="22"/>
          <w:szCs w:val="22"/>
          <w:lang w:val="en-US"/>
        </w:rPr>
        <w:t xml:space="preserve">following subsections </w:t>
      </w:r>
      <w:r w:rsidR="00C10D4D" w:rsidRPr="00474548">
        <w:rPr>
          <w:sz w:val="22"/>
          <w:szCs w:val="22"/>
          <w:lang w:val="en-US"/>
        </w:rPr>
        <w:t>analyze</w:t>
      </w:r>
      <w:r w:rsidRPr="00474548">
        <w:rPr>
          <w:sz w:val="22"/>
          <w:szCs w:val="22"/>
          <w:lang w:val="en-US"/>
        </w:rPr>
        <w:t xml:space="preserve"> in detail the </w:t>
      </w:r>
      <w:r w:rsidR="00233823" w:rsidRPr="00474548">
        <w:rPr>
          <w:sz w:val="22"/>
          <w:szCs w:val="22"/>
          <w:lang w:val="en-US"/>
        </w:rPr>
        <w:t>fundamental responses to</w:t>
      </w:r>
      <w:r w:rsidRPr="00474548">
        <w:rPr>
          <w:sz w:val="22"/>
          <w:szCs w:val="22"/>
          <w:lang w:val="en-US"/>
        </w:rPr>
        <w:t xml:space="preserve"> the research question.</w:t>
      </w:r>
    </w:p>
    <w:p w14:paraId="4D1D2A2C" w14:textId="77777777" w:rsidR="00BC3904" w:rsidRPr="00474548" w:rsidRDefault="00BC3904" w:rsidP="008E6F8E">
      <w:pPr>
        <w:pStyle w:val="Subtitle"/>
        <w:rPr>
          <w:rFonts w:ascii="Times New Roman" w:hAnsi="Times New Roman"/>
          <w:b/>
          <w:sz w:val="22"/>
          <w:szCs w:val="22"/>
          <w:lang w:val="en-US"/>
        </w:rPr>
      </w:pPr>
    </w:p>
    <w:p w14:paraId="6552953E" w14:textId="072C7FF5" w:rsidR="005B605A" w:rsidRPr="00474548" w:rsidRDefault="00721B54" w:rsidP="008E6F8E">
      <w:pPr>
        <w:pStyle w:val="Subtitle"/>
        <w:rPr>
          <w:rFonts w:ascii="Times New Roman" w:hAnsi="Times New Roman"/>
          <w:b/>
          <w:sz w:val="22"/>
          <w:szCs w:val="22"/>
          <w:lang w:val="en-US"/>
        </w:rPr>
      </w:pPr>
      <w:r w:rsidRPr="00474548">
        <w:rPr>
          <w:rFonts w:ascii="Times New Roman" w:hAnsi="Times New Roman"/>
          <w:b/>
          <w:sz w:val="22"/>
          <w:szCs w:val="22"/>
          <w:lang w:val="en-US"/>
        </w:rPr>
        <w:t xml:space="preserve">4.1 </w:t>
      </w:r>
      <w:r w:rsidR="00224B54" w:rsidRPr="00474548">
        <w:rPr>
          <w:rFonts w:ascii="Times New Roman" w:hAnsi="Times New Roman"/>
          <w:b/>
          <w:sz w:val="22"/>
          <w:szCs w:val="22"/>
          <w:lang w:val="en-US"/>
        </w:rPr>
        <w:t xml:space="preserve">RC Intensity of </w:t>
      </w:r>
      <w:r w:rsidRPr="00474548">
        <w:rPr>
          <w:rFonts w:ascii="Times New Roman" w:hAnsi="Times New Roman"/>
          <w:b/>
          <w:sz w:val="22"/>
          <w:szCs w:val="22"/>
          <w:lang w:val="en-US"/>
        </w:rPr>
        <w:t>MP/L</w:t>
      </w:r>
      <w:r w:rsidR="00192075" w:rsidRPr="00474548">
        <w:rPr>
          <w:rFonts w:ascii="Times New Roman" w:hAnsi="Times New Roman"/>
          <w:b/>
          <w:sz w:val="22"/>
          <w:szCs w:val="22"/>
          <w:lang w:val="en-US"/>
        </w:rPr>
        <w:t>aws</w:t>
      </w:r>
      <w:r w:rsidRPr="00474548">
        <w:rPr>
          <w:rFonts w:ascii="Times New Roman" w:hAnsi="Times New Roman"/>
          <w:b/>
          <w:sz w:val="22"/>
          <w:szCs w:val="22"/>
          <w:lang w:val="en-US"/>
        </w:rPr>
        <w:t xml:space="preserve"> </w:t>
      </w:r>
    </w:p>
    <w:p w14:paraId="5A52115E" w14:textId="2F9BED96" w:rsidR="00546546" w:rsidRPr="00474548" w:rsidRDefault="009F49FD" w:rsidP="00546546">
      <w:pPr>
        <w:tabs>
          <w:tab w:val="left" w:pos="5710"/>
        </w:tabs>
        <w:ind w:firstLine="709"/>
        <w:jc w:val="both"/>
        <w:rPr>
          <w:sz w:val="22"/>
          <w:szCs w:val="22"/>
          <w:lang w:val="en-US"/>
        </w:rPr>
      </w:pPr>
      <w:r w:rsidRPr="00474548">
        <w:rPr>
          <w:sz w:val="22"/>
          <w:szCs w:val="22"/>
          <w:lang w:val="en-US"/>
        </w:rPr>
        <w:t>Table 2</w:t>
      </w:r>
      <w:r w:rsidR="00686F56" w:rsidRPr="00474548">
        <w:rPr>
          <w:sz w:val="22"/>
          <w:szCs w:val="22"/>
          <w:lang w:val="en-US"/>
        </w:rPr>
        <w:t xml:space="preserve"> presents </w:t>
      </w:r>
      <w:r w:rsidR="005B605A" w:rsidRPr="00474548">
        <w:rPr>
          <w:sz w:val="22"/>
          <w:szCs w:val="22"/>
          <w:lang w:val="en-US"/>
        </w:rPr>
        <w:t xml:space="preserve">the events belonging to the first event group called </w:t>
      </w:r>
      <w:r w:rsidR="001C7A79" w:rsidRPr="00474548">
        <w:rPr>
          <w:sz w:val="22"/>
          <w:szCs w:val="22"/>
          <w:lang w:val="en-US"/>
        </w:rPr>
        <w:t>MP/</w:t>
      </w:r>
      <w:r w:rsidR="005B605A" w:rsidRPr="00474548">
        <w:rPr>
          <w:sz w:val="22"/>
          <w:szCs w:val="22"/>
          <w:lang w:val="en-US"/>
        </w:rPr>
        <w:t xml:space="preserve">Laws along with the period in which the </w:t>
      </w:r>
      <w:r w:rsidR="001634C9" w:rsidRPr="00474548">
        <w:rPr>
          <w:sz w:val="22"/>
          <w:szCs w:val="22"/>
          <w:lang w:val="en-US"/>
        </w:rPr>
        <w:t>r</w:t>
      </w:r>
      <w:r w:rsidR="005B605A" w:rsidRPr="00474548">
        <w:rPr>
          <w:sz w:val="22"/>
          <w:szCs w:val="22"/>
          <w:lang w:val="en-US"/>
        </w:rPr>
        <w:t xml:space="preserve">egime </w:t>
      </w:r>
      <w:r w:rsidR="001634C9" w:rsidRPr="00474548">
        <w:rPr>
          <w:sz w:val="22"/>
          <w:szCs w:val="22"/>
          <w:lang w:val="en-US"/>
        </w:rPr>
        <w:t>c</w:t>
      </w:r>
      <w:r w:rsidR="005B605A" w:rsidRPr="00474548">
        <w:rPr>
          <w:sz w:val="22"/>
          <w:szCs w:val="22"/>
          <w:lang w:val="en-US"/>
        </w:rPr>
        <w:t xml:space="preserve">hanges occur, </w:t>
      </w:r>
      <w:r w:rsidR="00686F56" w:rsidRPr="00474548">
        <w:rPr>
          <w:sz w:val="22"/>
          <w:szCs w:val="22"/>
          <w:lang w:val="en-US"/>
        </w:rPr>
        <w:t xml:space="preserve">pertinent </w:t>
      </w:r>
      <w:r w:rsidR="005B605A" w:rsidRPr="00474548">
        <w:rPr>
          <w:sz w:val="22"/>
          <w:szCs w:val="22"/>
          <w:lang w:val="en-US"/>
        </w:rPr>
        <w:t>to these events.</w:t>
      </w:r>
    </w:p>
    <w:p w14:paraId="1E53EBF2" w14:textId="77777777" w:rsidR="00FC75F3" w:rsidRDefault="00FC75F3" w:rsidP="00546546">
      <w:pPr>
        <w:tabs>
          <w:tab w:val="left" w:pos="5710"/>
        </w:tabs>
        <w:ind w:firstLine="709"/>
        <w:jc w:val="both"/>
        <w:rPr>
          <w:sz w:val="22"/>
          <w:szCs w:val="22"/>
          <w:lang w:val="en-US"/>
        </w:rPr>
      </w:pPr>
    </w:p>
    <w:p w14:paraId="4D21E063" w14:textId="77777777" w:rsidR="006E641C" w:rsidRDefault="006E641C" w:rsidP="00546546">
      <w:pPr>
        <w:tabs>
          <w:tab w:val="left" w:pos="5710"/>
        </w:tabs>
        <w:ind w:firstLine="709"/>
        <w:jc w:val="both"/>
        <w:rPr>
          <w:sz w:val="22"/>
          <w:szCs w:val="22"/>
          <w:lang w:val="en-US"/>
        </w:rPr>
      </w:pPr>
    </w:p>
    <w:p w14:paraId="27AA0637" w14:textId="77777777" w:rsidR="006E641C" w:rsidRDefault="006E641C" w:rsidP="00546546">
      <w:pPr>
        <w:tabs>
          <w:tab w:val="left" w:pos="5710"/>
        </w:tabs>
        <w:ind w:firstLine="709"/>
        <w:jc w:val="both"/>
        <w:rPr>
          <w:sz w:val="22"/>
          <w:szCs w:val="22"/>
          <w:lang w:val="en-US"/>
        </w:rPr>
      </w:pPr>
    </w:p>
    <w:p w14:paraId="40BD3410" w14:textId="77777777" w:rsidR="006E641C" w:rsidRDefault="006E641C" w:rsidP="00546546">
      <w:pPr>
        <w:tabs>
          <w:tab w:val="left" w:pos="5710"/>
        </w:tabs>
        <w:ind w:firstLine="709"/>
        <w:jc w:val="both"/>
        <w:rPr>
          <w:sz w:val="22"/>
          <w:szCs w:val="22"/>
          <w:lang w:val="en-US"/>
        </w:rPr>
      </w:pPr>
    </w:p>
    <w:p w14:paraId="3583199D" w14:textId="77777777" w:rsidR="006E641C" w:rsidRDefault="006E641C" w:rsidP="00546546">
      <w:pPr>
        <w:tabs>
          <w:tab w:val="left" w:pos="5710"/>
        </w:tabs>
        <w:ind w:firstLine="709"/>
        <w:jc w:val="both"/>
        <w:rPr>
          <w:sz w:val="22"/>
          <w:szCs w:val="22"/>
          <w:lang w:val="en-US"/>
        </w:rPr>
      </w:pPr>
    </w:p>
    <w:p w14:paraId="017A60AC" w14:textId="77777777" w:rsidR="006E641C" w:rsidRDefault="006E641C" w:rsidP="00546546">
      <w:pPr>
        <w:tabs>
          <w:tab w:val="left" w:pos="5710"/>
        </w:tabs>
        <w:ind w:firstLine="709"/>
        <w:jc w:val="both"/>
        <w:rPr>
          <w:sz w:val="22"/>
          <w:szCs w:val="22"/>
          <w:lang w:val="en-US"/>
        </w:rPr>
      </w:pPr>
    </w:p>
    <w:p w14:paraId="4EDB68A5" w14:textId="77777777" w:rsidR="006E641C" w:rsidRDefault="006E641C" w:rsidP="00546546">
      <w:pPr>
        <w:tabs>
          <w:tab w:val="left" w:pos="5710"/>
        </w:tabs>
        <w:ind w:firstLine="709"/>
        <w:jc w:val="both"/>
        <w:rPr>
          <w:sz w:val="22"/>
          <w:szCs w:val="22"/>
          <w:lang w:val="en-US"/>
        </w:rPr>
      </w:pPr>
    </w:p>
    <w:p w14:paraId="524A6AB1" w14:textId="77777777" w:rsidR="006E641C" w:rsidRDefault="006E641C" w:rsidP="00546546">
      <w:pPr>
        <w:tabs>
          <w:tab w:val="left" w:pos="5710"/>
        </w:tabs>
        <w:ind w:firstLine="709"/>
        <w:jc w:val="both"/>
        <w:rPr>
          <w:sz w:val="22"/>
          <w:szCs w:val="22"/>
          <w:lang w:val="en-US"/>
        </w:rPr>
      </w:pPr>
    </w:p>
    <w:p w14:paraId="0BEBEB0F" w14:textId="77777777" w:rsidR="006E641C" w:rsidRDefault="006E641C" w:rsidP="00546546">
      <w:pPr>
        <w:tabs>
          <w:tab w:val="left" w:pos="5710"/>
        </w:tabs>
        <w:ind w:firstLine="709"/>
        <w:jc w:val="both"/>
        <w:rPr>
          <w:sz w:val="22"/>
          <w:szCs w:val="22"/>
          <w:lang w:val="en-US"/>
        </w:rPr>
      </w:pPr>
    </w:p>
    <w:p w14:paraId="74A5615B" w14:textId="77777777" w:rsidR="006E641C" w:rsidRDefault="006E641C" w:rsidP="00546546">
      <w:pPr>
        <w:tabs>
          <w:tab w:val="left" w:pos="5710"/>
        </w:tabs>
        <w:ind w:firstLine="709"/>
        <w:jc w:val="both"/>
        <w:rPr>
          <w:sz w:val="22"/>
          <w:szCs w:val="22"/>
          <w:lang w:val="en-US"/>
        </w:rPr>
      </w:pPr>
    </w:p>
    <w:p w14:paraId="0794E822" w14:textId="77777777" w:rsidR="006E641C" w:rsidRPr="00474548" w:rsidRDefault="006E641C" w:rsidP="00546546">
      <w:pPr>
        <w:tabs>
          <w:tab w:val="left" w:pos="5710"/>
        </w:tabs>
        <w:ind w:firstLine="709"/>
        <w:jc w:val="both"/>
        <w:rPr>
          <w:sz w:val="22"/>
          <w:szCs w:val="22"/>
          <w:lang w:val="en-US"/>
        </w:rPr>
      </w:pPr>
    </w:p>
    <w:p w14:paraId="3FCB9A53" w14:textId="03523B28" w:rsidR="00721B54" w:rsidRPr="00474548" w:rsidRDefault="00546546" w:rsidP="00546546">
      <w:pPr>
        <w:tabs>
          <w:tab w:val="left" w:pos="5710"/>
        </w:tabs>
        <w:jc w:val="both"/>
        <w:rPr>
          <w:sz w:val="22"/>
          <w:szCs w:val="22"/>
          <w:lang w:val="en-US"/>
        </w:rPr>
      </w:pPr>
      <w:r w:rsidRPr="00474548">
        <w:rPr>
          <w:sz w:val="22"/>
          <w:szCs w:val="22"/>
          <w:lang w:val="en-US"/>
        </w:rPr>
        <w:lastRenderedPageBreak/>
        <w:t xml:space="preserve">Table </w:t>
      </w:r>
      <w:r w:rsidR="009F49FD" w:rsidRPr="00474548">
        <w:rPr>
          <w:sz w:val="22"/>
          <w:szCs w:val="22"/>
          <w:lang w:val="en-US"/>
        </w:rPr>
        <w:t>2</w:t>
      </w:r>
      <w:r w:rsidRPr="00474548">
        <w:rPr>
          <w:sz w:val="22"/>
          <w:szCs w:val="22"/>
          <w:lang w:val="en-US"/>
        </w:rPr>
        <w:t xml:space="preserve"> - MP/Laws captured as Markov Regime Changes</w:t>
      </w:r>
    </w:p>
    <w:tbl>
      <w:tblPr>
        <w:tblStyle w:val="TableGrid"/>
        <w:tblW w:w="4834" w:type="pct"/>
        <w:jc w:val="center"/>
        <w:tblLayout w:type="fixed"/>
        <w:tblLook w:val="04A0" w:firstRow="1" w:lastRow="0" w:firstColumn="1" w:lastColumn="0" w:noHBand="0" w:noVBand="1"/>
      </w:tblPr>
      <w:tblGrid>
        <w:gridCol w:w="920"/>
        <w:gridCol w:w="1173"/>
        <w:gridCol w:w="1152"/>
        <w:gridCol w:w="704"/>
        <w:gridCol w:w="1516"/>
        <w:gridCol w:w="3464"/>
      </w:tblGrid>
      <w:tr w:rsidR="008E78EC" w:rsidRPr="00474548" w14:paraId="77642484" w14:textId="77777777" w:rsidTr="00474548">
        <w:trPr>
          <w:trHeight w:val="41"/>
          <w:jc w:val="center"/>
        </w:trPr>
        <w:tc>
          <w:tcPr>
            <w:tcW w:w="515" w:type="pct"/>
          </w:tcPr>
          <w:p w14:paraId="6254307E" w14:textId="77777777" w:rsidR="005B605A" w:rsidRPr="00474548" w:rsidRDefault="005B605A" w:rsidP="008E6F8E">
            <w:pPr>
              <w:tabs>
                <w:tab w:val="left" w:pos="5710"/>
              </w:tabs>
              <w:jc w:val="center"/>
              <w:rPr>
                <w:b/>
                <w:lang w:val="en-US"/>
              </w:rPr>
            </w:pPr>
            <w:r w:rsidRPr="00474548">
              <w:rPr>
                <w:b/>
                <w:lang w:val="en-US"/>
              </w:rPr>
              <w:t>Regime Change</w:t>
            </w:r>
          </w:p>
        </w:tc>
        <w:tc>
          <w:tcPr>
            <w:tcW w:w="657" w:type="pct"/>
          </w:tcPr>
          <w:p w14:paraId="52D549E2" w14:textId="77777777" w:rsidR="005B605A" w:rsidRPr="00474548" w:rsidRDefault="005B605A" w:rsidP="008E6F8E">
            <w:pPr>
              <w:tabs>
                <w:tab w:val="left" w:pos="5710"/>
              </w:tabs>
              <w:jc w:val="center"/>
              <w:rPr>
                <w:b/>
                <w:lang w:val="en-US"/>
              </w:rPr>
            </w:pPr>
            <w:r w:rsidRPr="00474548">
              <w:rPr>
                <w:b/>
                <w:lang w:val="en-US"/>
              </w:rPr>
              <w:t>Initial date</w:t>
            </w:r>
          </w:p>
        </w:tc>
        <w:tc>
          <w:tcPr>
            <w:tcW w:w="645" w:type="pct"/>
          </w:tcPr>
          <w:p w14:paraId="5B804375" w14:textId="77777777" w:rsidR="005B605A" w:rsidRPr="00474548" w:rsidRDefault="005B605A" w:rsidP="008E6F8E">
            <w:pPr>
              <w:tabs>
                <w:tab w:val="left" w:pos="5710"/>
              </w:tabs>
              <w:jc w:val="center"/>
              <w:rPr>
                <w:b/>
                <w:lang w:val="en-US"/>
              </w:rPr>
            </w:pPr>
            <w:r w:rsidRPr="00474548">
              <w:rPr>
                <w:b/>
                <w:lang w:val="en-US"/>
              </w:rPr>
              <w:t>Date</w:t>
            </w:r>
          </w:p>
          <w:p w14:paraId="62A8CFF8" w14:textId="77777777" w:rsidR="005B605A" w:rsidRPr="00474548" w:rsidRDefault="005B605A" w:rsidP="008E6F8E">
            <w:pPr>
              <w:tabs>
                <w:tab w:val="left" w:pos="5710"/>
              </w:tabs>
              <w:jc w:val="center"/>
              <w:rPr>
                <w:b/>
                <w:lang w:val="en-US"/>
              </w:rPr>
            </w:pPr>
            <w:r w:rsidRPr="00474548">
              <w:rPr>
                <w:b/>
                <w:lang w:val="en-US"/>
              </w:rPr>
              <w:t xml:space="preserve"> Final</w:t>
            </w:r>
          </w:p>
        </w:tc>
        <w:tc>
          <w:tcPr>
            <w:tcW w:w="394" w:type="pct"/>
          </w:tcPr>
          <w:p w14:paraId="013F4F97" w14:textId="72DEE7C3" w:rsidR="005B605A" w:rsidRPr="00474548" w:rsidRDefault="005B605A" w:rsidP="008E6F8E">
            <w:pPr>
              <w:tabs>
                <w:tab w:val="left" w:pos="5710"/>
              </w:tabs>
              <w:jc w:val="center"/>
              <w:rPr>
                <w:b/>
                <w:lang w:val="en-US"/>
              </w:rPr>
            </w:pPr>
            <w:r w:rsidRPr="00474548">
              <w:rPr>
                <w:b/>
                <w:lang w:val="en-US"/>
              </w:rPr>
              <w:t>Obs. n</w:t>
            </w:r>
            <w:r w:rsidR="00150950" w:rsidRPr="00474548">
              <w:rPr>
                <w:b/>
                <w:lang w:val="en-US"/>
              </w:rPr>
              <w:t>o.</w:t>
            </w:r>
          </w:p>
        </w:tc>
        <w:tc>
          <w:tcPr>
            <w:tcW w:w="849" w:type="pct"/>
          </w:tcPr>
          <w:p w14:paraId="74DCF5F2" w14:textId="77777777" w:rsidR="005B605A" w:rsidRPr="00474548" w:rsidRDefault="005B605A" w:rsidP="008E6F8E">
            <w:pPr>
              <w:tabs>
                <w:tab w:val="left" w:pos="5710"/>
              </w:tabs>
              <w:jc w:val="center"/>
              <w:rPr>
                <w:b/>
                <w:lang w:val="en-US"/>
              </w:rPr>
            </w:pPr>
            <w:r w:rsidRPr="00474548">
              <w:rPr>
                <w:b/>
                <w:lang w:val="en-US"/>
              </w:rPr>
              <w:t>MP/Law</w:t>
            </w:r>
          </w:p>
        </w:tc>
        <w:tc>
          <w:tcPr>
            <w:tcW w:w="1940" w:type="pct"/>
          </w:tcPr>
          <w:p w14:paraId="5BD4378E" w14:textId="77777777" w:rsidR="005B605A" w:rsidRPr="00474548" w:rsidRDefault="005B605A" w:rsidP="008E6F8E">
            <w:pPr>
              <w:tabs>
                <w:tab w:val="left" w:pos="5710"/>
              </w:tabs>
              <w:jc w:val="center"/>
              <w:rPr>
                <w:b/>
                <w:lang w:val="en-US"/>
              </w:rPr>
            </w:pPr>
            <w:r w:rsidRPr="00474548">
              <w:rPr>
                <w:b/>
                <w:lang w:val="en-US"/>
              </w:rPr>
              <w:t xml:space="preserve">Description </w:t>
            </w:r>
          </w:p>
        </w:tc>
      </w:tr>
      <w:tr w:rsidR="008E78EC" w:rsidRPr="00474548" w14:paraId="5F6FF521" w14:textId="77777777" w:rsidTr="00474548">
        <w:trPr>
          <w:trHeight w:val="41"/>
          <w:jc w:val="center"/>
        </w:trPr>
        <w:tc>
          <w:tcPr>
            <w:tcW w:w="515" w:type="pct"/>
          </w:tcPr>
          <w:p w14:paraId="57D9C54D" w14:textId="77777777" w:rsidR="005B605A" w:rsidRPr="00474548" w:rsidRDefault="005B605A" w:rsidP="008E6F8E">
            <w:pPr>
              <w:tabs>
                <w:tab w:val="left" w:pos="5710"/>
              </w:tabs>
              <w:jc w:val="center"/>
              <w:rPr>
                <w:lang w:val="en-US"/>
              </w:rPr>
            </w:pPr>
            <w:r w:rsidRPr="00474548">
              <w:rPr>
                <w:lang w:val="en-US"/>
              </w:rPr>
              <w:t>2</w:t>
            </w:r>
          </w:p>
        </w:tc>
        <w:tc>
          <w:tcPr>
            <w:tcW w:w="657" w:type="pct"/>
          </w:tcPr>
          <w:p w14:paraId="4F65875E" w14:textId="1C36FD6D" w:rsidR="005B605A" w:rsidRPr="00474548" w:rsidRDefault="00607804" w:rsidP="008E6F8E">
            <w:pPr>
              <w:rPr>
                <w:color w:val="000000"/>
                <w:lang w:val="en-US"/>
              </w:rPr>
            </w:pPr>
            <w:r w:rsidRPr="00474548">
              <w:rPr>
                <w:color w:val="000000"/>
                <w:lang w:val="en-US"/>
              </w:rPr>
              <w:t>01/24/1995</w:t>
            </w:r>
          </w:p>
        </w:tc>
        <w:tc>
          <w:tcPr>
            <w:tcW w:w="645" w:type="pct"/>
          </w:tcPr>
          <w:p w14:paraId="7ABD2C36" w14:textId="48772299" w:rsidR="005B605A" w:rsidRPr="00474548" w:rsidRDefault="00607804" w:rsidP="008E6F8E">
            <w:pPr>
              <w:rPr>
                <w:color w:val="000000"/>
                <w:lang w:val="en-US"/>
              </w:rPr>
            </w:pPr>
            <w:r w:rsidRPr="00474548">
              <w:rPr>
                <w:color w:val="000000"/>
                <w:lang w:val="en-US"/>
              </w:rPr>
              <w:t>04/27/1995</w:t>
            </w:r>
          </w:p>
        </w:tc>
        <w:tc>
          <w:tcPr>
            <w:tcW w:w="394" w:type="pct"/>
          </w:tcPr>
          <w:p w14:paraId="46561E4F" w14:textId="77777777" w:rsidR="005B605A" w:rsidRPr="00474548" w:rsidRDefault="005B605A" w:rsidP="008E6F8E">
            <w:pPr>
              <w:tabs>
                <w:tab w:val="left" w:pos="5710"/>
              </w:tabs>
              <w:rPr>
                <w:lang w:val="en-US"/>
              </w:rPr>
            </w:pPr>
            <w:r w:rsidRPr="00474548">
              <w:rPr>
                <w:lang w:val="en-US"/>
              </w:rPr>
              <w:t>62</w:t>
            </w:r>
          </w:p>
        </w:tc>
        <w:tc>
          <w:tcPr>
            <w:tcW w:w="849" w:type="pct"/>
          </w:tcPr>
          <w:p w14:paraId="70D59EED" w14:textId="7E9D5A27" w:rsidR="005B605A" w:rsidRPr="00474548" w:rsidRDefault="005B605A" w:rsidP="008E6F8E">
            <w:pPr>
              <w:tabs>
                <w:tab w:val="left" w:pos="5710"/>
              </w:tabs>
              <w:rPr>
                <w:lang w:val="en-US"/>
              </w:rPr>
            </w:pPr>
            <w:r w:rsidRPr="00474548">
              <w:rPr>
                <w:lang w:val="en-US"/>
              </w:rPr>
              <w:t>Law 8</w:t>
            </w:r>
            <w:r w:rsidR="00607804" w:rsidRPr="00474548">
              <w:rPr>
                <w:lang w:val="en-US"/>
              </w:rPr>
              <w:t>,</w:t>
            </w:r>
            <w:r w:rsidRPr="00474548">
              <w:rPr>
                <w:lang w:val="en-US"/>
              </w:rPr>
              <w:t xml:space="preserve">987, of </w:t>
            </w:r>
            <w:r w:rsidR="00607804" w:rsidRPr="00474548">
              <w:rPr>
                <w:lang w:val="en-US"/>
              </w:rPr>
              <w:t>02/13/1995</w:t>
            </w:r>
          </w:p>
        </w:tc>
        <w:tc>
          <w:tcPr>
            <w:tcW w:w="1940" w:type="pct"/>
          </w:tcPr>
          <w:p w14:paraId="4E3EEF52" w14:textId="774658BD" w:rsidR="005B605A" w:rsidRPr="00474548" w:rsidRDefault="005B605A" w:rsidP="008E6F8E">
            <w:pPr>
              <w:jc w:val="both"/>
              <w:rPr>
                <w:lang w:val="en-US"/>
              </w:rPr>
            </w:pPr>
            <w:r w:rsidRPr="00474548">
              <w:rPr>
                <w:lang w:val="en-US"/>
              </w:rPr>
              <w:t xml:space="preserve">Granting permission </w:t>
            </w:r>
            <w:r w:rsidR="00C33172" w:rsidRPr="00474548">
              <w:rPr>
                <w:lang w:val="en-US"/>
              </w:rPr>
              <w:t xml:space="preserve">and the provision </w:t>
            </w:r>
            <w:r w:rsidRPr="00474548">
              <w:rPr>
                <w:lang w:val="en-US"/>
              </w:rPr>
              <w:t xml:space="preserve">of public services. </w:t>
            </w:r>
          </w:p>
        </w:tc>
      </w:tr>
      <w:tr w:rsidR="008E78EC" w:rsidRPr="00474548" w14:paraId="5FB85FDB" w14:textId="77777777" w:rsidTr="00474548">
        <w:trPr>
          <w:trHeight w:val="354"/>
          <w:jc w:val="center"/>
        </w:trPr>
        <w:tc>
          <w:tcPr>
            <w:tcW w:w="515" w:type="pct"/>
          </w:tcPr>
          <w:p w14:paraId="651BD2BF" w14:textId="77777777" w:rsidR="005B605A" w:rsidRPr="00474548" w:rsidRDefault="005B605A" w:rsidP="008E6F8E">
            <w:pPr>
              <w:tabs>
                <w:tab w:val="left" w:pos="5710"/>
              </w:tabs>
              <w:jc w:val="center"/>
              <w:rPr>
                <w:lang w:val="en-US"/>
              </w:rPr>
            </w:pPr>
            <w:r w:rsidRPr="00474548">
              <w:rPr>
                <w:lang w:val="en-US"/>
              </w:rPr>
              <w:t>3</w:t>
            </w:r>
          </w:p>
        </w:tc>
        <w:tc>
          <w:tcPr>
            <w:tcW w:w="657" w:type="pct"/>
          </w:tcPr>
          <w:p w14:paraId="3CC790B1" w14:textId="54BE7E00" w:rsidR="005B605A" w:rsidRPr="00474548" w:rsidRDefault="00607804" w:rsidP="008E6F8E">
            <w:pPr>
              <w:rPr>
                <w:color w:val="000000"/>
                <w:lang w:val="en-US"/>
              </w:rPr>
            </w:pPr>
            <w:r w:rsidRPr="00474548">
              <w:rPr>
                <w:color w:val="000000"/>
                <w:lang w:val="en-US"/>
              </w:rPr>
              <w:t>06/30/1995</w:t>
            </w:r>
          </w:p>
        </w:tc>
        <w:tc>
          <w:tcPr>
            <w:tcW w:w="645" w:type="pct"/>
          </w:tcPr>
          <w:p w14:paraId="4B9249ED" w14:textId="215292B9" w:rsidR="005B605A" w:rsidRPr="00474548" w:rsidRDefault="00607804" w:rsidP="008E6F8E">
            <w:pPr>
              <w:rPr>
                <w:color w:val="000000"/>
                <w:lang w:val="en-US"/>
              </w:rPr>
            </w:pPr>
            <w:r w:rsidRPr="00474548">
              <w:rPr>
                <w:color w:val="000000"/>
                <w:lang w:val="en-US"/>
              </w:rPr>
              <w:t>07/17/1995</w:t>
            </w:r>
          </w:p>
        </w:tc>
        <w:tc>
          <w:tcPr>
            <w:tcW w:w="394" w:type="pct"/>
          </w:tcPr>
          <w:p w14:paraId="462AEAE1" w14:textId="77777777" w:rsidR="005B605A" w:rsidRPr="00474548" w:rsidRDefault="005B605A" w:rsidP="008E6F8E">
            <w:pPr>
              <w:tabs>
                <w:tab w:val="left" w:pos="5710"/>
              </w:tabs>
              <w:rPr>
                <w:lang w:val="en-US"/>
              </w:rPr>
            </w:pPr>
            <w:r w:rsidRPr="00474548">
              <w:rPr>
                <w:lang w:val="en-US"/>
              </w:rPr>
              <w:t>12</w:t>
            </w:r>
          </w:p>
        </w:tc>
        <w:tc>
          <w:tcPr>
            <w:tcW w:w="849" w:type="pct"/>
          </w:tcPr>
          <w:p w14:paraId="77819526" w14:textId="09A13EDF" w:rsidR="005B605A" w:rsidRPr="00474548" w:rsidRDefault="005B605A" w:rsidP="008E6F8E">
            <w:pPr>
              <w:tabs>
                <w:tab w:val="left" w:pos="5710"/>
              </w:tabs>
              <w:rPr>
                <w:bCs/>
                <w:lang w:val="en-US"/>
              </w:rPr>
            </w:pPr>
            <w:r w:rsidRPr="00474548">
              <w:rPr>
                <w:lang w:val="en-US"/>
              </w:rPr>
              <w:t>Law 9</w:t>
            </w:r>
            <w:r w:rsidR="00607804" w:rsidRPr="00474548">
              <w:rPr>
                <w:lang w:val="en-US"/>
              </w:rPr>
              <w:t>,</w:t>
            </w:r>
            <w:r w:rsidR="00DA0684" w:rsidRPr="00474548">
              <w:rPr>
                <w:lang w:val="en-US"/>
              </w:rPr>
              <w:t xml:space="preserve">074, of </w:t>
            </w:r>
            <w:r w:rsidRPr="00474548">
              <w:rPr>
                <w:lang w:val="en-US"/>
              </w:rPr>
              <w:t>07/07/1995</w:t>
            </w:r>
          </w:p>
        </w:tc>
        <w:tc>
          <w:tcPr>
            <w:tcW w:w="1940" w:type="pct"/>
          </w:tcPr>
          <w:p w14:paraId="4143C3B9" w14:textId="33644F53" w:rsidR="005B605A" w:rsidRPr="00474548" w:rsidRDefault="005B605A" w:rsidP="008E6F8E">
            <w:pPr>
              <w:jc w:val="both"/>
              <w:rPr>
                <w:lang w:val="en-US"/>
              </w:rPr>
            </w:pPr>
            <w:r w:rsidRPr="00474548">
              <w:rPr>
                <w:lang w:val="en-US"/>
              </w:rPr>
              <w:t xml:space="preserve">Granting and extension of concessions and permissions </w:t>
            </w:r>
            <w:r w:rsidR="00CF1C31" w:rsidRPr="00474548">
              <w:rPr>
                <w:lang w:val="en-US"/>
              </w:rPr>
              <w:t>for</w:t>
            </w:r>
            <w:r w:rsidRPr="00474548">
              <w:rPr>
                <w:lang w:val="en-US"/>
              </w:rPr>
              <w:t xml:space="preserve"> public services. </w:t>
            </w:r>
          </w:p>
        </w:tc>
      </w:tr>
      <w:tr w:rsidR="008E78EC" w:rsidRPr="00474548" w14:paraId="27817340" w14:textId="77777777" w:rsidTr="00474548">
        <w:trPr>
          <w:trHeight w:val="41"/>
          <w:jc w:val="center"/>
        </w:trPr>
        <w:tc>
          <w:tcPr>
            <w:tcW w:w="515" w:type="pct"/>
          </w:tcPr>
          <w:p w14:paraId="3F42319F" w14:textId="77777777" w:rsidR="005B605A" w:rsidRPr="00474548" w:rsidRDefault="005B605A" w:rsidP="008E6F8E">
            <w:pPr>
              <w:tabs>
                <w:tab w:val="left" w:pos="5710"/>
              </w:tabs>
              <w:jc w:val="center"/>
              <w:rPr>
                <w:lang w:val="en-US"/>
              </w:rPr>
            </w:pPr>
            <w:r w:rsidRPr="00474548">
              <w:rPr>
                <w:lang w:val="en-US"/>
              </w:rPr>
              <w:t>8</w:t>
            </w:r>
          </w:p>
        </w:tc>
        <w:tc>
          <w:tcPr>
            <w:tcW w:w="657" w:type="pct"/>
          </w:tcPr>
          <w:p w14:paraId="7EFA1241" w14:textId="2EDC8AC8" w:rsidR="005B605A" w:rsidRPr="00474548" w:rsidRDefault="00607804" w:rsidP="008E6F8E">
            <w:pPr>
              <w:rPr>
                <w:color w:val="000000"/>
                <w:lang w:val="en-US"/>
              </w:rPr>
            </w:pPr>
            <w:r w:rsidRPr="00474548">
              <w:rPr>
                <w:color w:val="000000"/>
                <w:lang w:val="en-US"/>
              </w:rPr>
              <w:t>05/19/1998</w:t>
            </w:r>
          </w:p>
        </w:tc>
        <w:tc>
          <w:tcPr>
            <w:tcW w:w="645" w:type="pct"/>
          </w:tcPr>
          <w:p w14:paraId="12CB66EB" w14:textId="70B513C3" w:rsidR="005B605A" w:rsidRPr="00474548" w:rsidRDefault="00607804" w:rsidP="008E6F8E">
            <w:pPr>
              <w:rPr>
                <w:color w:val="000000"/>
                <w:lang w:val="en-US"/>
              </w:rPr>
            </w:pPr>
            <w:r w:rsidRPr="00474548">
              <w:rPr>
                <w:color w:val="000000"/>
                <w:lang w:val="en-US"/>
              </w:rPr>
              <w:t>05/29/1998</w:t>
            </w:r>
          </w:p>
        </w:tc>
        <w:tc>
          <w:tcPr>
            <w:tcW w:w="394" w:type="pct"/>
          </w:tcPr>
          <w:p w14:paraId="2037EE49" w14:textId="77777777" w:rsidR="005B605A" w:rsidRPr="00474548" w:rsidRDefault="005B605A" w:rsidP="008E6F8E">
            <w:pPr>
              <w:tabs>
                <w:tab w:val="left" w:pos="5710"/>
              </w:tabs>
              <w:rPr>
                <w:lang w:val="en-US"/>
              </w:rPr>
            </w:pPr>
            <w:r w:rsidRPr="00474548">
              <w:rPr>
                <w:lang w:val="en-US"/>
              </w:rPr>
              <w:t>9</w:t>
            </w:r>
          </w:p>
        </w:tc>
        <w:tc>
          <w:tcPr>
            <w:tcW w:w="849" w:type="pct"/>
          </w:tcPr>
          <w:p w14:paraId="1CBD20BE" w14:textId="2C0ECB13" w:rsidR="005B605A" w:rsidRPr="00474548" w:rsidRDefault="005B605A" w:rsidP="008E6F8E">
            <w:pPr>
              <w:tabs>
                <w:tab w:val="left" w:pos="5710"/>
              </w:tabs>
              <w:rPr>
                <w:bCs/>
                <w:lang w:val="en-US"/>
              </w:rPr>
            </w:pPr>
            <w:r w:rsidRPr="00474548">
              <w:rPr>
                <w:lang w:val="en-US"/>
              </w:rPr>
              <w:t>Law 9</w:t>
            </w:r>
            <w:r w:rsidR="00607804" w:rsidRPr="00474548">
              <w:rPr>
                <w:lang w:val="en-US"/>
              </w:rPr>
              <w:t>,</w:t>
            </w:r>
            <w:r w:rsidRPr="00474548">
              <w:rPr>
                <w:lang w:val="en-US"/>
              </w:rPr>
              <w:t xml:space="preserve">648, of </w:t>
            </w:r>
            <w:r w:rsidR="00607804" w:rsidRPr="00474548">
              <w:rPr>
                <w:lang w:val="en-US"/>
              </w:rPr>
              <w:t>05/27/1998</w:t>
            </w:r>
          </w:p>
        </w:tc>
        <w:tc>
          <w:tcPr>
            <w:tcW w:w="1940" w:type="pct"/>
          </w:tcPr>
          <w:p w14:paraId="1E9DD1AC" w14:textId="43D43750" w:rsidR="005B605A" w:rsidRPr="00474548" w:rsidRDefault="005B605A" w:rsidP="008E6F8E">
            <w:pPr>
              <w:rPr>
                <w:lang w:val="en-US"/>
              </w:rPr>
            </w:pPr>
            <w:r w:rsidRPr="00474548">
              <w:rPr>
                <w:lang w:val="en-US"/>
              </w:rPr>
              <w:t>Restructuring ELETROBRAS and its subsidiaries</w:t>
            </w:r>
            <w:r w:rsidR="00C33172" w:rsidRPr="00474548">
              <w:rPr>
                <w:lang w:val="en-US"/>
              </w:rPr>
              <w:t>.</w:t>
            </w:r>
          </w:p>
        </w:tc>
      </w:tr>
      <w:tr w:rsidR="008E78EC" w:rsidRPr="00474548" w14:paraId="7E69EC9C" w14:textId="77777777" w:rsidTr="00474548">
        <w:trPr>
          <w:trHeight w:val="41"/>
          <w:jc w:val="center"/>
        </w:trPr>
        <w:tc>
          <w:tcPr>
            <w:tcW w:w="515" w:type="pct"/>
          </w:tcPr>
          <w:p w14:paraId="2C2F27D5" w14:textId="77777777" w:rsidR="005B605A" w:rsidRPr="00474548" w:rsidRDefault="005B605A" w:rsidP="008E6F8E">
            <w:pPr>
              <w:tabs>
                <w:tab w:val="left" w:pos="5710"/>
              </w:tabs>
              <w:jc w:val="center"/>
              <w:rPr>
                <w:lang w:val="en-US"/>
              </w:rPr>
            </w:pPr>
            <w:r w:rsidRPr="00474548">
              <w:rPr>
                <w:lang w:val="en-US"/>
              </w:rPr>
              <w:t>18</w:t>
            </w:r>
          </w:p>
        </w:tc>
        <w:tc>
          <w:tcPr>
            <w:tcW w:w="657" w:type="pct"/>
          </w:tcPr>
          <w:p w14:paraId="2817D818" w14:textId="4E916EBE" w:rsidR="005B605A" w:rsidRPr="00474548" w:rsidRDefault="00607804" w:rsidP="008E6F8E">
            <w:pPr>
              <w:rPr>
                <w:color w:val="000000"/>
                <w:lang w:val="en-US"/>
              </w:rPr>
            </w:pPr>
            <w:r w:rsidRPr="00474548">
              <w:rPr>
                <w:color w:val="000000"/>
                <w:lang w:val="en-US"/>
              </w:rPr>
              <w:t>08/07/2002</w:t>
            </w:r>
          </w:p>
          <w:p w14:paraId="35C9CFA9" w14:textId="77777777" w:rsidR="005B605A" w:rsidRPr="00474548" w:rsidRDefault="005B605A" w:rsidP="008E6F8E">
            <w:pPr>
              <w:rPr>
                <w:color w:val="000000"/>
                <w:lang w:val="en-US"/>
              </w:rPr>
            </w:pPr>
          </w:p>
        </w:tc>
        <w:tc>
          <w:tcPr>
            <w:tcW w:w="645" w:type="pct"/>
          </w:tcPr>
          <w:p w14:paraId="1A30500D" w14:textId="3C525CDE" w:rsidR="005B605A" w:rsidRPr="00474548" w:rsidRDefault="00607804" w:rsidP="008E6F8E">
            <w:pPr>
              <w:rPr>
                <w:color w:val="000000"/>
                <w:lang w:val="en-US"/>
              </w:rPr>
            </w:pPr>
            <w:r w:rsidRPr="00474548">
              <w:rPr>
                <w:color w:val="000000"/>
                <w:lang w:val="en-US"/>
              </w:rPr>
              <w:t>08/29/2002</w:t>
            </w:r>
          </w:p>
          <w:p w14:paraId="4A7BCB67" w14:textId="77777777" w:rsidR="005B605A" w:rsidRPr="00474548" w:rsidRDefault="005B605A" w:rsidP="008E6F8E">
            <w:pPr>
              <w:rPr>
                <w:color w:val="000000"/>
                <w:lang w:val="en-US"/>
              </w:rPr>
            </w:pPr>
          </w:p>
        </w:tc>
        <w:tc>
          <w:tcPr>
            <w:tcW w:w="394" w:type="pct"/>
          </w:tcPr>
          <w:p w14:paraId="0A370F9B" w14:textId="77777777" w:rsidR="005B605A" w:rsidRPr="00474548" w:rsidRDefault="005B605A" w:rsidP="008E6F8E">
            <w:pPr>
              <w:tabs>
                <w:tab w:val="left" w:pos="5710"/>
              </w:tabs>
              <w:rPr>
                <w:lang w:val="en-US"/>
              </w:rPr>
            </w:pPr>
            <w:r w:rsidRPr="00474548">
              <w:rPr>
                <w:lang w:val="en-US"/>
              </w:rPr>
              <w:t>17</w:t>
            </w:r>
          </w:p>
        </w:tc>
        <w:tc>
          <w:tcPr>
            <w:tcW w:w="849" w:type="pct"/>
          </w:tcPr>
          <w:p w14:paraId="7D5E50F9" w14:textId="3EC1956D" w:rsidR="005B605A" w:rsidRPr="00474548" w:rsidRDefault="005B605A" w:rsidP="008E6F8E">
            <w:pPr>
              <w:tabs>
                <w:tab w:val="left" w:pos="5710"/>
              </w:tabs>
              <w:rPr>
                <w:shd w:val="clear" w:color="auto" w:fill="FFFFFF"/>
                <w:lang w:val="en-US"/>
              </w:rPr>
            </w:pPr>
            <w:r w:rsidRPr="00474548">
              <w:rPr>
                <w:rStyle w:val="nomeproposicao"/>
                <w:lang w:val="en-US"/>
              </w:rPr>
              <w:t xml:space="preserve">MP 64/02 of </w:t>
            </w:r>
            <w:r w:rsidR="00607804" w:rsidRPr="00474548">
              <w:rPr>
                <w:rStyle w:val="nomeproposicao"/>
                <w:lang w:val="en-US"/>
              </w:rPr>
              <w:t>08/27/2002</w:t>
            </w:r>
            <w:r w:rsidRPr="00474548">
              <w:rPr>
                <w:rStyle w:val="nomeproposicao"/>
                <w:lang w:val="en-US"/>
              </w:rPr>
              <w:t xml:space="preserve"> and </w:t>
            </w:r>
          </w:p>
          <w:p w14:paraId="26554BFB" w14:textId="2773F60F" w:rsidR="005B605A" w:rsidRPr="00474548" w:rsidRDefault="005B605A" w:rsidP="008E6F8E">
            <w:pPr>
              <w:tabs>
                <w:tab w:val="left" w:pos="5710"/>
              </w:tabs>
              <w:rPr>
                <w:bCs/>
                <w:lang w:val="en-US"/>
              </w:rPr>
            </w:pPr>
            <w:r w:rsidRPr="00474548">
              <w:rPr>
                <w:lang w:val="en-US"/>
              </w:rPr>
              <w:t>Law 10</w:t>
            </w:r>
            <w:r w:rsidR="00607804" w:rsidRPr="00474548">
              <w:rPr>
                <w:lang w:val="en-US"/>
              </w:rPr>
              <w:t>,</w:t>
            </w:r>
            <w:r w:rsidRPr="00474548">
              <w:rPr>
                <w:lang w:val="en-US"/>
              </w:rPr>
              <w:t xml:space="preserve">604 of </w:t>
            </w:r>
            <w:r w:rsidR="00607804" w:rsidRPr="00474548">
              <w:rPr>
                <w:lang w:val="en-US"/>
              </w:rPr>
              <w:t>12/17/2002</w:t>
            </w:r>
          </w:p>
        </w:tc>
        <w:tc>
          <w:tcPr>
            <w:tcW w:w="1940" w:type="pct"/>
          </w:tcPr>
          <w:p w14:paraId="3150A8D6" w14:textId="2A43E6E4" w:rsidR="005B605A" w:rsidRPr="00474548" w:rsidRDefault="005B605A" w:rsidP="008E6F8E">
            <w:pPr>
              <w:rPr>
                <w:lang w:val="en-US"/>
              </w:rPr>
            </w:pPr>
            <w:r w:rsidRPr="00474548">
              <w:rPr>
                <w:lang w:val="en-US"/>
              </w:rPr>
              <w:t xml:space="preserve">Subsidy to electricity consumers of </w:t>
            </w:r>
            <w:r w:rsidR="00CF1C31" w:rsidRPr="00474548">
              <w:rPr>
                <w:lang w:val="en-US"/>
              </w:rPr>
              <w:t xml:space="preserve">the </w:t>
            </w:r>
            <w:proofErr w:type="gramStart"/>
            <w:r w:rsidR="00C33172" w:rsidRPr="00474548">
              <w:rPr>
                <w:lang w:val="en-US"/>
              </w:rPr>
              <w:t>low income</w:t>
            </w:r>
            <w:proofErr w:type="gramEnd"/>
            <w:r w:rsidR="00C33172" w:rsidRPr="00474548">
              <w:rPr>
                <w:lang w:val="en-US"/>
              </w:rPr>
              <w:t xml:space="preserve"> class.</w:t>
            </w:r>
            <w:r w:rsidRPr="00474548">
              <w:rPr>
                <w:lang w:val="en-US"/>
              </w:rPr>
              <w:t xml:space="preserve"> </w:t>
            </w:r>
          </w:p>
        </w:tc>
      </w:tr>
      <w:tr w:rsidR="008E78EC" w:rsidRPr="00474548" w14:paraId="68D82123" w14:textId="77777777" w:rsidTr="00474548">
        <w:trPr>
          <w:trHeight w:val="41"/>
          <w:jc w:val="center"/>
        </w:trPr>
        <w:tc>
          <w:tcPr>
            <w:tcW w:w="515" w:type="pct"/>
          </w:tcPr>
          <w:p w14:paraId="40A718D4" w14:textId="77777777" w:rsidR="005B605A" w:rsidRPr="00474548" w:rsidRDefault="005B605A" w:rsidP="008E6F8E">
            <w:pPr>
              <w:tabs>
                <w:tab w:val="left" w:pos="5710"/>
              </w:tabs>
              <w:jc w:val="center"/>
              <w:rPr>
                <w:lang w:val="en-US"/>
              </w:rPr>
            </w:pPr>
            <w:r w:rsidRPr="00474548">
              <w:rPr>
                <w:lang w:val="en-US"/>
              </w:rPr>
              <w:t>21</w:t>
            </w:r>
          </w:p>
        </w:tc>
        <w:tc>
          <w:tcPr>
            <w:tcW w:w="657" w:type="pct"/>
          </w:tcPr>
          <w:p w14:paraId="6570561A" w14:textId="48E97D9F" w:rsidR="005B605A" w:rsidRPr="00474548" w:rsidRDefault="00607804" w:rsidP="008E6F8E">
            <w:pPr>
              <w:rPr>
                <w:color w:val="000000"/>
                <w:lang w:val="en-US"/>
              </w:rPr>
            </w:pPr>
            <w:r w:rsidRPr="00474548">
              <w:rPr>
                <w:color w:val="000000"/>
                <w:lang w:val="en-US"/>
              </w:rPr>
              <w:t>11/20/2003</w:t>
            </w:r>
          </w:p>
          <w:p w14:paraId="21A42287" w14:textId="77777777" w:rsidR="005B605A" w:rsidRPr="00474548" w:rsidRDefault="005B605A" w:rsidP="008E6F8E">
            <w:pPr>
              <w:rPr>
                <w:color w:val="000000"/>
                <w:lang w:val="en-US"/>
              </w:rPr>
            </w:pPr>
          </w:p>
        </w:tc>
        <w:tc>
          <w:tcPr>
            <w:tcW w:w="645" w:type="pct"/>
          </w:tcPr>
          <w:p w14:paraId="30CD4AEB" w14:textId="40851F11" w:rsidR="005B605A" w:rsidRPr="00474548" w:rsidRDefault="00607804" w:rsidP="008E6F8E">
            <w:pPr>
              <w:rPr>
                <w:color w:val="000000"/>
                <w:lang w:val="en-US"/>
              </w:rPr>
            </w:pPr>
            <w:r w:rsidRPr="00474548">
              <w:rPr>
                <w:color w:val="000000"/>
                <w:lang w:val="en-US"/>
              </w:rPr>
              <w:t>12/18/2003</w:t>
            </w:r>
          </w:p>
          <w:p w14:paraId="4EBFE3D9" w14:textId="77777777" w:rsidR="005B605A" w:rsidRPr="00474548" w:rsidRDefault="005B605A" w:rsidP="008E6F8E">
            <w:pPr>
              <w:rPr>
                <w:color w:val="000000"/>
                <w:lang w:val="en-US"/>
              </w:rPr>
            </w:pPr>
          </w:p>
        </w:tc>
        <w:tc>
          <w:tcPr>
            <w:tcW w:w="394" w:type="pct"/>
          </w:tcPr>
          <w:p w14:paraId="3294EACD" w14:textId="77777777" w:rsidR="005B605A" w:rsidRPr="00474548" w:rsidRDefault="005B605A" w:rsidP="008E6F8E">
            <w:pPr>
              <w:tabs>
                <w:tab w:val="left" w:pos="5710"/>
              </w:tabs>
              <w:rPr>
                <w:lang w:val="en-US"/>
              </w:rPr>
            </w:pPr>
            <w:r w:rsidRPr="00474548">
              <w:rPr>
                <w:lang w:val="en-US"/>
              </w:rPr>
              <w:t>21</w:t>
            </w:r>
          </w:p>
        </w:tc>
        <w:tc>
          <w:tcPr>
            <w:tcW w:w="849" w:type="pct"/>
          </w:tcPr>
          <w:p w14:paraId="160094B0" w14:textId="4FBFE259" w:rsidR="005B605A" w:rsidRPr="00474548" w:rsidRDefault="005B605A" w:rsidP="008E6F8E">
            <w:pPr>
              <w:tabs>
                <w:tab w:val="left" w:pos="5710"/>
              </w:tabs>
              <w:rPr>
                <w:rStyle w:val="nomeproposicao"/>
                <w:lang w:val="en-US"/>
              </w:rPr>
            </w:pPr>
            <w:r w:rsidRPr="00474548">
              <w:rPr>
                <w:color w:val="000000"/>
                <w:lang w:val="en-US"/>
              </w:rPr>
              <w:t xml:space="preserve">MP of </w:t>
            </w:r>
            <w:r w:rsidR="00607804" w:rsidRPr="00474548">
              <w:rPr>
                <w:color w:val="000000"/>
                <w:lang w:val="en-US"/>
              </w:rPr>
              <w:t>12/11/2003</w:t>
            </w:r>
            <w:r w:rsidRPr="00474548">
              <w:rPr>
                <w:color w:val="000000"/>
                <w:lang w:val="en-US"/>
              </w:rPr>
              <w:t xml:space="preserve"> </w:t>
            </w:r>
            <w:r w:rsidR="009E7C81" w:rsidRPr="00474548">
              <w:rPr>
                <w:rStyle w:val="nomeproposicao"/>
                <w:lang w:val="en-US"/>
              </w:rPr>
              <w:t xml:space="preserve">and </w:t>
            </w:r>
            <w:r w:rsidRPr="00474548">
              <w:rPr>
                <w:rStyle w:val="nomeproposicao"/>
                <w:lang w:val="en-US"/>
              </w:rPr>
              <w:t>Law</w:t>
            </w:r>
            <w:r w:rsidR="009E7C81" w:rsidRPr="00474548">
              <w:rPr>
                <w:lang w:val="en-US"/>
              </w:rPr>
              <w:t xml:space="preserve"> </w:t>
            </w:r>
            <w:r w:rsidRPr="00474548">
              <w:rPr>
                <w:lang w:val="en-US"/>
              </w:rPr>
              <w:t>10</w:t>
            </w:r>
            <w:r w:rsidR="00607804" w:rsidRPr="00474548">
              <w:rPr>
                <w:lang w:val="en-US"/>
              </w:rPr>
              <w:t>,</w:t>
            </w:r>
            <w:r w:rsidRPr="00474548">
              <w:rPr>
                <w:lang w:val="en-US"/>
              </w:rPr>
              <w:t xml:space="preserve">848 of </w:t>
            </w:r>
            <w:r w:rsidR="00607804" w:rsidRPr="00474548">
              <w:rPr>
                <w:lang w:val="en-US"/>
              </w:rPr>
              <w:t>03/15/2004</w:t>
            </w:r>
          </w:p>
        </w:tc>
        <w:tc>
          <w:tcPr>
            <w:tcW w:w="1940" w:type="pct"/>
          </w:tcPr>
          <w:p w14:paraId="2F54F217" w14:textId="0F5B5A6F" w:rsidR="005B605A" w:rsidRPr="00474548" w:rsidRDefault="005B605A" w:rsidP="008E6F8E">
            <w:pPr>
              <w:rPr>
                <w:lang w:val="en-US"/>
              </w:rPr>
            </w:pPr>
            <w:r w:rsidRPr="00474548">
              <w:rPr>
                <w:lang w:val="en-US"/>
              </w:rPr>
              <w:t xml:space="preserve">EPE's creation. Electricity marketing, change of </w:t>
            </w:r>
            <w:r w:rsidR="00607804" w:rsidRPr="00474548">
              <w:rPr>
                <w:lang w:val="en-US"/>
              </w:rPr>
              <w:t>l</w:t>
            </w:r>
            <w:r w:rsidRPr="00474548">
              <w:rPr>
                <w:lang w:val="en-US"/>
              </w:rPr>
              <w:t>aws.</w:t>
            </w:r>
          </w:p>
        </w:tc>
      </w:tr>
      <w:tr w:rsidR="008E78EC" w:rsidRPr="00474548" w14:paraId="03B71FFE" w14:textId="77777777" w:rsidTr="00474548">
        <w:trPr>
          <w:trHeight w:val="606"/>
          <w:jc w:val="center"/>
        </w:trPr>
        <w:tc>
          <w:tcPr>
            <w:tcW w:w="515" w:type="pct"/>
          </w:tcPr>
          <w:p w14:paraId="467C322D" w14:textId="77777777" w:rsidR="005B605A" w:rsidRPr="00474548" w:rsidRDefault="005B605A" w:rsidP="008E6F8E">
            <w:pPr>
              <w:tabs>
                <w:tab w:val="left" w:pos="5710"/>
              </w:tabs>
              <w:jc w:val="center"/>
              <w:rPr>
                <w:lang w:val="en-US"/>
              </w:rPr>
            </w:pPr>
            <w:r w:rsidRPr="00474548">
              <w:rPr>
                <w:lang w:val="en-US"/>
              </w:rPr>
              <w:t>29</w:t>
            </w:r>
          </w:p>
        </w:tc>
        <w:tc>
          <w:tcPr>
            <w:tcW w:w="657" w:type="pct"/>
          </w:tcPr>
          <w:p w14:paraId="259DC8DB" w14:textId="3EA90F98" w:rsidR="005B605A" w:rsidRPr="00474548" w:rsidRDefault="00607804" w:rsidP="008E6F8E">
            <w:pPr>
              <w:rPr>
                <w:color w:val="000000"/>
                <w:lang w:val="en-US"/>
              </w:rPr>
            </w:pPr>
            <w:r w:rsidRPr="00474548">
              <w:rPr>
                <w:color w:val="000000"/>
                <w:lang w:val="en-US"/>
              </w:rPr>
              <w:t>08/30/2012</w:t>
            </w:r>
          </w:p>
          <w:p w14:paraId="312F519A" w14:textId="77777777" w:rsidR="005B605A" w:rsidRPr="00474548" w:rsidRDefault="005B605A" w:rsidP="008E6F8E">
            <w:pPr>
              <w:rPr>
                <w:color w:val="000000"/>
                <w:lang w:val="en-US"/>
              </w:rPr>
            </w:pPr>
          </w:p>
        </w:tc>
        <w:tc>
          <w:tcPr>
            <w:tcW w:w="645" w:type="pct"/>
          </w:tcPr>
          <w:p w14:paraId="7F5A44D4" w14:textId="76C807B1" w:rsidR="005B605A" w:rsidRPr="00474548" w:rsidRDefault="00607804" w:rsidP="008E6F8E">
            <w:pPr>
              <w:rPr>
                <w:color w:val="000000"/>
                <w:lang w:val="en-US"/>
              </w:rPr>
            </w:pPr>
            <w:r w:rsidRPr="00474548">
              <w:rPr>
                <w:color w:val="000000"/>
                <w:lang w:val="en-US"/>
              </w:rPr>
              <w:t>09/13/2012</w:t>
            </w:r>
          </w:p>
          <w:p w14:paraId="450F6895" w14:textId="77777777" w:rsidR="005B605A" w:rsidRPr="00474548" w:rsidRDefault="005B605A" w:rsidP="008E6F8E">
            <w:pPr>
              <w:rPr>
                <w:color w:val="000000"/>
                <w:lang w:val="en-US"/>
              </w:rPr>
            </w:pPr>
          </w:p>
        </w:tc>
        <w:tc>
          <w:tcPr>
            <w:tcW w:w="394" w:type="pct"/>
          </w:tcPr>
          <w:p w14:paraId="7B2C07CC" w14:textId="77777777" w:rsidR="005B605A" w:rsidRPr="00474548" w:rsidRDefault="005B605A" w:rsidP="008E6F8E">
            <w:pPr>
              <w:tabs>
                <w:tab w:val="left" w:pos="5710"/>
              </w:tabs>
              <w:rPr>
                <w:lang w:val="en-US"/>
              </w:rPr>
            </w:pPr>
            <w:r w:rsidRPr="00474548">
              <w:rPr>
                <w:lang w:val="en-US"/>
              </w:rPr>
              <w:t>10</w:t>
            </w:r>
          </w:p>
        </w:tc>
        <w:tc>
          <w:tcPr>
            <w:tcW w:w="849" w:type="pct"/>
          </w:tcPr>
          <w:p w14:paraId="63341DFC" w14:textId="13F18663" w:rsidR="005B605A" w:rsidRPr="00474548" w:rsidRDefault="009E7C81" w:rsidP="008E6F8E">
            <w:pPr>
              <w:rPr>
                <w:shd w:val="clear" w:color="auto" w:fill="FFFFFF"/>
                <w:lang w:val="en-US"/>
              </w:rPr>
            </w:pPr>
            <w:r w:rsidRPr="00474548">
              <w:rPr>
                <w:color w:val="000000"/>
                <w:lang w:val="en-US"/>
              </w:rPr>
              <w:t xml:space="preserve">Announcement </w:t>
            </w:r>
            <w:r w:rsidR="005B605A" w:rsidRPr="00474548">
              <w:rPr>
                <w:color w:val="000000"/>
                <w:lang w:val="en-US"/>
              </w:rPr>
              <w:t xml:space="preserve">on </w:t>
            </w:r>
            <w:r w:rsidR="00607804" w:rsidRPr="00474548">
              <w:rPr>
                <w:color w:val="000000"/>
                <w:lang w:val="en-US"/>
              </w:rPr>
              <w:t>09/06/2012</w:t>
            </w:r>
            <w:r w:rsidR="005B605A" w:rsidRPr="00474548">
              <w:rPr>
                <w:color w:val="000000"/>
                <w:lang w:val="en-US"/>
              </w:rPr>
              <w:t xml:space="preserve"> of MP 579, </w:t>
            </w:r>
            <w:r w:rsidR="005B605A" w:rsidRPr="00474548">
              <w:rPr>
                <w:lang w:val="en-US"/>
              </w:rPr>
              <w:t>Law 12</w:t>
            </w:r>
            <w:r w:rsidR="00607804" w:rsidRPr="00474548">
              <w:rPr>
                <w:lang w:val="en-US"/>
              </w:rPr>
              <w:t>,</w:t>
            </w:r>
            <w:r w:rsidR="005B605A" w:rsidRPr="00474548">
              <w:rPr>
                <w:lang w:val="en-US"/>
              </w:rPr>
              <w:t xml:space="preserve">783 of </w:t>
            </w:r>
            <w:r w:rsidR="00607804" w:rsidRPr="00474548">
              <w:rPr>
                <w:lang w:val="en-US"/>
              </w:rPr>
              <w:t>0</w:t>
            </w:r>
            <w:r w:rsidR="005B605A" w:rsidRPr="00474548">
              <w:rPr>
                <w:lang w:val="en-US"/>
              </w:rPr>
              <w:t>1/01/2013</w:t>
            </w:r>
          </w:p>
          <w:p w14:paraId="616F3692" w14:textId="77777777" w:rsidR="005B605A" w:rsidRPr="00474548" w:rsidRDefault="005B605A" w:rsidP="008E6F8E">
            <w:pPr>
              <w:rPr>
                <w:color w:val="000000"/>
                <w:lang w:val="en-US"/>
              </w:rPr>
            </w:pPr>
          </w:p>
        </w:tc>
        <w:tc>
          <w:tcPr>
            <w:tcW w:w="1940" w:type="pct"/>
          </w:tcPr>
          <w:p w14:paraId="028D59B5" w14:textId="2915C931" w:rsidR="005B605A" w:rsidRPr="00474548" w:rsidRDefault="005B605A" w:rsidP="008E6F8E">
            <w:pPr>
              <w:jc w:val="both"/>
              <w:rPr>
                <w:lang w:val="en-US"/>
              </w:rPr>
            </w:pPr>
            <w:r w:rsidRPr="00474548">
              <w:rPr>
                <w:color w:val="000000"/>
                <w:lang w:val="en-US"/>
              </w:rPr>
              <w:t xml:space="preserve">Changes </w:t>
            </w:r>
            <w:r w:rsidRPr="00474548">
              <w:rPr>
                <w:shd w:val="clear" w:color="auto" w:fill="FFFFFF"/>
                <w:lang w:val="en-US"/>
              </w:rPr>
              <w:t>the generation</w:t>
            </w:r>
            <w:r w:rsidR="00C33172" w:rsidRPr="00474548">
              <w:rPr>
                <w:shd w:val="clear" w:color="auto" w:fill="FFFFFF"/>
                <w:lang w:val="en-US"/>
              </w:rPr>
              <w:t xml:space="preserve"> of</w:t>
            </w:r>
            <w:r w:rsidRPr="00474548">
              <w:rPr>
                <w:shd w:val="clear" w:color="auto" w:fill="FFFFFF"/>
                <w:lang w:val="en-US"/>
              </w:rPr>
              <w:t xml:space="preserve"> concessions, transmission</w:t>
            </w:r>
            <w:r w:rsidR="00C33172" w:rsidRPr="00474548">
              <w:rPr>
                <w:shd w:val="clear" w:color="auto" w:fill="FFFFFF"/>
                <w:lang w:val="en-US"/>
              </w:rPr>
              <w:t>,</w:t>
            </w:r>
            <w:r w:rsidRPr="00474548">
              <w:rPr>
                <w:shd w:val="clear" w:color="auto" w:fill="FFFFFF"/>
                <w:lang w:val="en-US"/>
              </w:rPr>
              <w:t xml:space="preserve"> and distribution of electricity, reduction of sector charges, low rates; change of </w:t>
            </w:r>
            <w:r w:rsidR="003B0287" w:rsidRPr="00474548">
              <w:rPr>
                <w:shd w:val="clear" w:color="auto" w:fill="FFFFFF"/>
                <w:lang w:val="en-US"/>
              </w:rPr>
              <w:t>l</w:t>
            </w:r>
            <w:r w:rsidRPr="00474548">
              <w:rPr>
                <w:shd w:val="clear" w:color="auto" w:fill="FFFFFF"/>
                <w:lang w:val="en-US"/>
              </w:rPr>
              <w:t>aws.</w:t>
            </w:r>
          </w:p>
        </w:tc>
      </w:tr>
    </w:tbl>
    <w:p w14:paraId="661698C0" w14:textId="77777777" w:rsidR="00546546" w:rsidRPr="00474548" w:rsidRDefault="00546546" w:rsidP="008E6F8E">
      <w:pPr>
        <w:ind w:firstLine="709"/>
        <w:jc w:val="both"/>
        <w:rPr>
          <w:sz w:val="22"/>
          <w:szCs w:val="22"/>
          <w:lang w:val="en-US"/>
        </w:rPr>
      </w:pPr>
    </w:p>
    <w:p w14:paraId="421A4938" w14:textId="3F5B070E" w:rsidR="005B605A" w:rsidRPr="00474548" w:rsidRDefault="00721B54" w:rsidP="008E6F8E">
      <w:pPr>
        <w:ind w:firstLine="709"/>
        <w:jc w:val="both"/>
        <w:rPr>
          <w:sz w:val="22"/>
          <w:szCs w:val="22"/>
          <w:lang w:val="en-US"/>
        </w:rPr>
      </w:pPr>
      <w:r w:rsidRPr="00474548">
        <w:rPr>
          <w:sz w:val="22"/>
          <w:szCs w:val="22"/>
          <w:lang w:val="en-US"/>
        </w:rPr>
        <w:t xml:space="preserve">It is noted that the six </w:t>
      </w:r>
      <w:r w:rsidR="001634C9" w:rsidRPr="00474548">
        <w:rPr>
          <w:sz w:val="22"/>
          <w:szCs w:val="22"/>
          <w:lang w:val="en-US"/>
        </w:rPr>
        <w:t>l</w:t>
      </w:r>
      <w:r w:rsidRPr="00474548">
        <w:rPr>
          <w:sz w:val="22"/>
          <w:szCs w:val="22"/>
          <w:lang w:val="en-US"/>
        </w:rPr>
        <w:t xml:space="preserve">aws, three </w:t>
      </w:r>
      <w:r w:rsidR="00C10D4D" w:rsidRPr="00474548">
        <w:rPr>
          <w:sz w:val="22"/>
          <w:szCs w:val="22"/>
          <w:lang w:val="en-US"/>
        </w:rPr>
        <w:t xml:space="preserve">of which originated </w:t>
      </w:r>
      <w:r w:rsidRPr="00474548">
        <w:rPr>
          <w:sz w:val="22"/>
          <w:szCs w:val="22"/>
          <w:lang w:val="en-US"/>
        </w:rPr>
        <w:t xml:space="preserve">from MP, were captured as Regime Changes (MR). Thus, the analysis of the individual regulatory intensity for each MP/Law seeks to highlight the laws with greater </w:t>
      </w:r>
      <w:r w:rsidR="00276EEE" w:rsidRPr="00474548">
        <w:rPr>
          <w:sz w:val="22"/>
          <w:szCs w:val="22"/>
          <w:lang w:val="en-US"/>
        </w:rPr>
        <w:t>RC</w:t>
      </w:r>
      <w:r w:rsidRPr="00474548">
        <w:rPr>
          <w:sz w:val="22"/>
          <w:szCs w:val="22"/>
          <w:lang w:val="en-US"/>
        </w:rPr>
        <w:t xml:space="preserve">. </w:t>
      </w:r>
      <w:r w:rsidR="00686F56" w:rsidRPr="00474548">
        <w:rPr>
          <w:sz w:val="22"/>
          <w:szCs w:val="22"/>
          <w:lang w:val="en-US"/>
        </w:rPr>
        <w:t>Thus</w:t>
      </w:r>
      <w:r w:rsidRPr="00474548">
        <w:rPr>
          <w:sz w:val="22"/>
          <w:szCs w:val="22"/>
          <w:lang w:val="en-US"/>
        </w:rPr>
        <w:t xml:space="preserve">, it was weighted to the </w:t>
      </w:r>
      <w:r w:rsidR="00276EEE" w:rsidRPr="00474548">
        <w:rPr>
          <w:sz w:val="22"/>
          <w:szCs w:val="22"/>
          <w:lang w:val="en-US"/>
        </w:rPr>
        <w:t>RC sum</w:t>
      </w:r>
      <w:r w:rsidRPr="00474548">
        <w:rPr>
          <w:sz w:val="22"/>
          <w:szCs w:val="22"/>
          <w:lang w:val="en-US"/>
        </w:rPr>
        <w:t xml:space="preserve"> present in each of the parts in relation to the total </w:t>
      </w:r>
      <w:r w:rsidR="00276EEE" w:rsidRPr="00474548">
        <w:rPr>
          <w:sz w:val="22"/>
          <w:szCs w:val="22"/>
          <w:lang w:val="en-US"/>
        </w:rPr>
        <w:t>RC sum</w:t>
      </w:r>
      <w:r w:rsidRPr="00474548">
        <w:rPr>
          <w:sz w:val="22"/>
          <w:szCs w:val="22"/>
          <w:lang w:val="en-US"/>
        </w:rPr>
        <w:t xml:space="preserve">. The results presented in Graphic 1 show the concentration of </w:t>
      </w:r>
      <w:r w:rsidR="00276EEE" w:rsidRPr="00474548">
        <w:rPr>
          <w:sz w:val="22"/>
          <w:szCs w:val="22"/>
          <w:lang w:val="en-US"/>
        </w:rPr>
        <w:t>RC</w:t>
      </w:r>
      <w:r w:rsidRPr="00474548">
        <w:rPr>
          <w:sz w:val="22"/>
          <w:szCs w:val="22"/>
          <w:lang w:val="en-US"/>
        </w:rPr>
        <w:t xml:space="preserve"> for each of the six </w:t>
      </w:r>
      <w:r w:rsidR="00C10D4D" w:rsidRPr="00474548">
        <w:rPr>
          <w:sz w:val="22"/>
          <w:szCs w:val="22"/>
          <w:lang w:val="en-US"/>
        </w:rPr>
        <w:t>analyzed</w:t>
      </w:r>
      <w:r w:rsidRPr="00474548">
        <w:rPr>
          <w:sz w:val="22"/>
          <w:szCs w:val="22"/>
          <w:lang w:val="en-US"/>
        </w:rPr>
        <w:t xml:space="preserve"> regulatory parts.</w:t>
      </w:r>
    </w:p>
    <w:p w14:paraId="6331E28F" w14:textId="77777777" w:rsidR="000F7154" w:rsidRPr="00474548" w:rsidRDefault="000F7154" w:rsidP="000F7154">
      <w:pPr>
        <w:ind w:firstLine="709"/>
        <w:jc w:val="both"/>
        <w:rPr>
          <w:sz w:val="22"/>
          <w:szCs w:val="22"/>
          <w:lang w:val="en-US"/>
        </w:rPr>
      </w:pPr>
      <w:r w:rsidRPr="00474548">
        <w:rPr>
          <w:sz w:val="22"/>
          <w:szCs w:val="22"/>
          <w:lang w:val="en-US"/>
        </w:rPr>
        <w:t xml:space="preserve">Among the laws captured as Markov Regimes, the RC with the highest intensity is found in Law 10,848/04, published in 2004, followed by Law 12,783/13, published in 2013. It is emphasized that, about twenty laws were addressed to the Brazilian electricity sector in the Federal Constitution of 1988, which for the most part, amended content of previous laws. However, only six of these laws emerge as regime changes and, therefore, indicate significant changes in the market rules. </w:t>
      </w:r>
    </w:p>
    <w:p w14:paraId="3EE7F1BE" w14:textId="77777777" w:rsidR="000F7154" w:rsidRPr="00474548" w:rsidRDefault="000F7154" w:rsidP="008E6F8E">
      <w:pPr>
        <w:ind w:firstLine="709"/>
        <w:jc w:val="both"/>
        <w:rPr>
          <w:sz w:val="22"/>
          <w:szCs w:val="22"/>
          <w:lang w:val="en-US"/>
        </w:rPr>
      </w:pPr>
    </w:p>
    <w:p w14:paraId="0577C2C6" w14:textId="58E99D9F" w:rsidR="00153335" w:rsidRPr="00474548" w:rsidRDefault="00727509" w:rsidP="008E6F8E">
      <w:pPr>
        <w:ind w:firstLine="709"/>
        <w:jc w:val="both"/>
        <w:rPr>
          <w:sz w:val="22"/>
          <w:szCs w:val="22"/>
          <w:lang w:val="en-US"/>
        </w:rPr>
      </w:pPr>
      <w:r w:rsidRPr="00474548">
        <w:rPr>
          <w:noProof/>
          <w:lang w:val="en-US" w:eastAsia="en-US" w:bidi="ar-SA"/>
        </w:rPr>
        <w:drawing>
          <wp:inline distT="0" distB="0" distL="0" distR="0" wp14:anchorId="1550B5A1" wp14:editId="3CACB0CF">
            <wp:extent cx="4562475" cy="2857500"/>
            <wp:effectExtent l="0" t="0" r="34925"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77E46B" w14:textId="3AC668A1" w:rsidR="005B605A" w:rsidRPr="00474548" w:rsidRDefault="005B605A" w:rsidP="008E6F8E">
      <w:pPr>
        <w:jc w:val="both"/>
        <w:rPr>
          <w:sz w:val="22"/>
          <w:szCs w:val="22"/>
          <w:lang w:val="en-US"/>
        </w:rPr>
      </w:pPr>
    </w:p>
    <w:p w14:paraId="56E89B55" w14:textId="0BCD6E4E" w:rsidR="000F7154" w:rsidRPr="00474548" w:rsidRDefault="005B605A" w:rsidP="000F7154">
      <w:pPr>
        <w:pStyle w:val="Caption"/>
        <w:rPr>
          <w:b w:val="0"/>
          <w:color w:val="auto"/>
          <w:sz w:val="22"/>
          <w:szCs w:val="22"/>
          <w:lang w:val="en-US"/>
        </w:rPr>
      </w:pPr>
      <w:r w:rsidRPr="00474548">
        <w:rPr>
          <w:sz w:val="22"/>
          <w:szCs w:val="22"/>
          <w:lang w:val="en-US"/>
        </w:rPr>
        <w:t xml:space="preserve"> </w:t>
      </w:r>
      <w:r w:rsidRPr="00474548">
        <w:rPr>
          <w:b w:val="0"/>
          <w:color w:val="auto"/>
          <w:sz w:val="22"/>
          <w:szCs w:val="22"/>
          <w:lang w:val="en-US"/>
        </w:rPr>
        <w:t xml:space="preserve">Graphic 1 – Intensity of </w:t>
      </w:r>
      <w:r w:rsidR="00192075" w:rsidRPr="00474548">
        <w:rPr>
          <w:b w:val="0"/>
          <w:color w:val="auto"/>
          <w:sz w:val="22"/>
          <w:szCs w:val="22"/>
          <w:lang w:val="en-US"/>
        </w:rPr>
        <w:t>RC</w:t>
      </w:r>
      <w:r w:rsidR="009F2C79" w:rsidRPr="00474548">
        <w:rPr>
          <w:b w:val="0"/>
          <w:color w:val="auto"/>
          <w:sz w:val="22"/>
          <w:szCs w:val="22"/>
          <w:lang w:val="en-US"/>
        </w:rPr>
        <w:t xml:space="preserve"> </w:t>
      </w:r>
      <w:r w:rsidRPr="00474548">
        <w:rPr>
          <w:b w:val="0"/>
          <w:color w:val="auto"/>
          <w:sz w:val="22"/>
          <w:szCs w:val="22"/>
          <w:lang w:val="en-US"/>
        </w:rPr>
        <w:t>present in MP</w:t>
      </w:r>
      <w:bookmarkStart w:id="17" w:name="_Toc391473716"/>
      <w:r w:rsidR="000F7154" w:rsidRPr="00474548">
        <w:rPr>
          <w:b w:val="0"/>
          <w:color w:val="auto"/>
          <w:sz w:val="22"/>
          <w:szCs w:val="22"/>
          <w:lang w:val="en-US"/>
        </w:rPr>
        <w:t>/Laws of regulatory legislation</w:t>
      </w:r>
    </w:p>
    <w:p w14:paraId="769A0E6E" w14:textId="77777777" w:rsidR="006E641C" w:rsidRDefault="006E641C" w:rsidP="008E6F8E">
      <w:pPr>
        <w:pStyle w:val="Subtitle"/>
        <w:rPr>
          <w:rFonts w:ascii="Times New Roman" w:hAnsi="Times New Roman"/>
          <w:b/>
          <w:sz w:val="22"/>
          <w:szCs w:val="22"/>
          <w:lang w:val="en-US"/>
        </w:rPr>
      </w:pPr>
    </w:p>
    <w:p w14:paraId="461E1A1B" w14:textId="17D08CD7" w:rsidR="005B605A" w:rsidRPr="00474548" w:rsidRDefault="00DC30A8" w:rsidP="008E6F8E">
      <w:pPr>
        <w:pStyle w:val="Subtitle"/>
        <w:rPr>
          <w:rFonts w:ascii="Times New Roman" w:hAnsi="Times New Roman"/>
          <w:b/>
          <w:sz w:val="22"/>
          <w:szCs w:val="22"/>
          <w:lang w:val="en-US"/>
        </w:rPr>
      </w:pPr>
      <w:r w:rsidRPr="00474548">
        <w:rPr>
          <w:rFonts w:ascii="Times New Roman" w:hAnsi="Times New Roman"/>
          <w:b/>
          <w:sz w:val="22"/>
          <w:szCs w:val="22"/>
          <w:lang w:val="en-US"/>
        </w:rPr>
        <w:lastRenderedPageBreak/>
        <w:t xml:space="preserve">4.2 </w:t>
      </w:r>
      <w:r w:rsidR="00192075" w:rsidRPr="00474548">
        <w:rPr>
          <w:rFonts w:ascii="Times New Roman" w:hAnsi="Times New Roman"/>
          <w:b/>
          <w:sz w:val="22"/>
          <w:szCs w:val="22"/>
          <w:lang w:val="en-US"/>
        </w:rPr>
        <w:t>RC</w:t>
      </w:r>
      <w:r w:rsidR="009F2C79" w:rsidRPr="00474548">
        <w:rPr>
          <w:rFonts w:ascii="Times New Roman" w:hAnsi="Times New Roman"/>
          <w:b/>
          <w:sz w:val="22"/>
          <w:szCs w:val="22"/>
          <w:lang w:val="en-US"/>
        </w:rPr>
        <w:t xml:space="preserve"> </w:t>
      </w:r>
      <w:r w:rsidRPr="00474548">
        <w:rPr>
          <w:rFonts w:ascii="Times New Roman" w:hAnsi="Times New Roman"/>
          <w:b/>
          <w:sz w:val="22"/>
          <w:szCs w:val="22"/>
          <w:lang w:val="en-US"/>
        </w:rPr>
        <w:t xml:space="preserve">Intensity of Other Significant Events </w:t>
      </w:r>
      <w:bookmarkEnd w:id="17"/>
    </w:p>
    <w:p w14:paraId="3D726BD4" w14:textId="53791BC8" w:rsidR="009F49FD" w:rsidRPr="00474548" w:rsidRDefault="005B605A" w:rsidP="008E78EC">
      <w:pPr>
        <w:tabs>
          <w:tab w:val="left" w:pos="5710"/>
        </w:tabs>
        <w:ind w:firstLine="709"/>
        <w:jc w:val="both"/>
        <w:rPr>
          <w:sz w:val="22"/>
          <w:szCs w:val="22"/>
          <w:lang w:val="en-US"/>
        </w:rPr>
      </w:pPr>
      <w:r w:rsidRPr="00474548">
        <w:rPr>
          <w:sz w:val="22"/>
          <w:szCs w:val="22"/>
          <w:lang w:val="en-US"/>
        </w:rPr>
        <w:t xml:space="preserve">The second group, called Other Significant Events, contemplates the laws addressed to the electricity sector as: Decrees, </w:t>
      </w:r>
      <w:r w:rsidR="00E602A3" w:rsidRPr="00474548">
        <w:rPr>
          <w:sz w:val="22"/>
          <w:szCs w:val="22"/>
          <w:lang w:val="en-US"/>
        </w:rPr>
        <w:t>ANEEL</w:t>
      </w:r>
      <w:r w:rsidR="00BE45A7" w:rsidRPr="00474548">
        <w:rPr>
          <w:sz w:val="22"/>
          <w:szCs w:val="22"/>
          <w:lang w:val="en-US"/>
        </w:rPr>
        <w:t xml:space="preserve"> (2014)</w:t>
      </w:r>
      <w:r w:rsidR="00E602A3" w:rsidRPr="00474548">
        <w:rPr>
          <w:sz w:val="22"/>
          <w:szCs w:val="22"/>
          <w:lang w:val="en-US"/>
        </w:rPr>
        <w:t xml:space="preserve"> </w:t>
      </w:r>
      <w:r w:rsidRPr="00474548">
        <w:rPr>
          <w:sz w:val="22"/>
          <w:szCs w:val="22"/>
          <w:lang w:val="en-US"/>
        </w:rPr>
        <w:t>Normative Resolutions</w:t>
      </w:r>
      <w:r w:rsidR="001634C9" w:rsidRPr="00474548">
        <w:rPr>
          <w:sz w:val="22"/>
          <w:szCs w:val="22"/>
          <w:lang w:val="en-US"/>
        </w:rPr>
        <w:t>,</w:t>
      </w:r>
      <w:r w:rsidRPr="00474548">
        <w:rPr>
          <w:sz w:val="22"/>
          <w:szCs w:val="22"/>
          <w:lang w:val="en-US"/>
        </w:rPr>
        <w:t xml:space="preserve"> and other </w:t>
      </w:r>
      <w:r w:rsidR="00E602A3" w:rsidRPr="00474548">
        <w:rPr>
          <w:sz w:val="22"/>
          <w:szCs w:val="22"/>
          <w:lang w:val="en-US"/>
        </w:rPr>
        <w:t xml:space="preserve">ANEEL </w:t>
      </w:r>
      <w:r w:rsidR="009F49FD" w:rsidRPr="00474548">
        <w:rPr>
          <w:sz w:val="22"/>
          <w:szCs w:val="22"/>
          <w:lang w:val="en-US"/>
        </w:rPr>
        <w:t>resolutions, as shown in Table 3</w:t>
      </w:r>
      <w:r w:rsidRPr="00474548">
        <w:rPr>
          <w:sz w:val="22"/>
          <w:szCs w:val="22"/>
          <w:lang w:val="en-US"/>
        </w:rPr>
        <w:t>.</w:t>
      </w:r>
    </w:p>
    <w:p w14:paraId="5E1D124C" w14:textId="7C63F66E" w:rsidR="00BB2864" w:rsidRPr="00BB2864" w:rsidRDefault="008E78EC" w:rsidP="00BB2864">
      <w:pPr>
        <w:tabs>
          <w:tab w:val="left" w:pos="5710"/>
        </w:tabs>
        <w:ind w:firstLine="709"/>
        <w:jc w:val="both"/>
        <w:rPr>
          <w:sz w:val="22"/>
          <w:szCs w:val="22"/>
          <w:lang w:val="en-US"/>
        </w:rPr>
      </w:pPr>
      <w:r w:rsidRPr="00474548">
        <w:rPr>
          <w:sz w:val="22"/>
          <w:szCs w:val="22"/>
          <w:lang w:val="en-US"/>
        </w:rPr>
        <w:t>In this context, based on Table 3, ten Markov Regime Changes that were related to the relevant RC events, were identified. Of these, changes with numbers 19, 23, and 28 concern two regulatory events. The analysis of the content intensity of other regulatory laws also takes into account the frequency intensity of the terms or descriptors. Due to the nature of the content, the analysis of the other regulatory laws considers the events captured in the same Regime Change as a single part. Thus, the RC's quantification is</w:t>
      </w:r>
      <w:r w:rsidR="00BB2864">
        <w:rPr>
          <w:sz w:val="22"/>
          <w:szCs w:val="22"/>
          <w:lang w:val="en-US"/>
        </w:rPr>
        <w:t xml:space="preserve"> displayed for ten sets of laws</w:t>
      </w:r>
    </w:p>
    <w:p w14:paraId="630D5E75" w14:textId="77777777" w:rsidR="000F7154" w:rsidRPr="00474548" w:rsidRDefault="000F7154" w:rsidP="008E78EC">
      <w:pPr>
        <w:pStyle w:val="Caption"/>
        <w:spacing w:after="0"/>
        <w:jc w:val="both"/>
        <w:rPr>
          <w:b w:val="0"/>
          <w:color w:val="auto"/>
          <w:sz w:val="22"/>
          <w:szCs w:val="22"/>
          <w:lang w:val="en-US"/>
        </w:rPr>
      </w:pPr>
    </w:p>
    <w:p w14:paraId="215A331D" w14:textId="27E2A8EA" w:rsidR="005B605A" w:rsidRPr="00474548" w:rsidRDefault="009F49FD" w:rsidP="008E78EC">
      <w:pPr>
        <w:pStyle w:val="Caption"/>
        <w:spacing w:after="0"/>
        <w:jc w:val="both"/>
        <w:rPr>
          <w:b w:val="0"/>
          <w:color w:val="auto"/>
          <w:sz w:val="22"/>
          <w:szCs w:val="22"/>
          <w:lang w:val="en-US"/>
        </w:rPr>
      </w:pPr>
      <w:r w:rsidRPr="00474548">
        <w:rPr>
          <w:b w:val="0"/>
          <w:color w:val="auto"/>
          <w:sz w:val="22"/>
          <w:szCs w:val="22"/>
          <w:lang w:val="en-US"/>
        </w:rPr>
        <w:t>Table 3 - Other Relevant RC Events captured as Markov Regime Changes</w:t>
      </w:r>
    </w:p>
    <w:tbl>
      <w:tblPr>
        <w:tblStyle w:val="TableGrid"/>
        <w:tblW w:w="4942" w:type="pct"/>
        <w:tblInd w:w="108" w:type="dxa"/>
        <w:tblLook w:val="04A0" w:firstRow="1" w:lastRow="0" w:firstColumn="1" w:lastColumn="0" w:noHBand="0" w:noVBand="1"/>
      </w:tblPr>
      <w:tblGrid>
        <w:gridCol w:w="839"/>
        <w:gridCol w:w="1128"/>
        <w:gridCol w:w="1128"/>
        <w:gridCol w:w="589"/>
        <w:gridCol w:w="1868"/>
        <w:gridCol w:w="3577"/>
      </w:tblGrid>
      <w:tr w:rsidR="005B605A" w:rsidRPr="00474548" w14:paraId="3BF87A1C" w14:textId="77777777" w:rsidTr="00AB10E8">
        <w:trPr>
          <w:trHeight w:val="57"/>
        </w:trPr>
        <w:tc>
          <w:tcPr>
            <w:tcW w:w="507" w:type="pct"/>
            <w:shd w:val="clear" w:color="auto" w:fill="D9D9D9" w:themeFill="background1" w:themeFillShade="D9"/>
          </w:tcPr>
          <w:p w14:paraId="1C67A658" w14:textId="77777777" w:rsidR="005B605A" w:rsidRPr="00474548" w:rsidRDefault="005B605A" w:rsidP="008E78EC">
            <w:pPr>
              <w:tabs>
                <w:tab w:val="left" w:pos="5710"/>
              </w:tabs>
              <w:jc w:val="center"/>
              <w:rPr>
                <w:lang w:val="en-US"/>
              </w:rPr>
            </w:pPr>
            <w:r w:rsidRPr="00474548">
              <w:rPr>
                <w:lang w:val="en-US"/>
              </w:rPr>
              <w:t>Regime Change</w:t>
            </w:r>
          </w:p>
        </w:tc>
        <w:tc>
          <w:tcPr>
            <w:tcW w:w="478" w:type="pct"/>
            <w:shd w:val="clear" w:color="auto" w:fill="D9D9D9" w:themeFill="background1" w:themeFillShade="D9"/>
          </w:tcPr>
          <w:p w14:paraId="4F654A65" w14:textId="77777777" w:rsidR="005B605A" w:rsidRPr="00474548" w:rsidRDefault="005B605A" w:rsidP="008E78EC">
            <w:pPr>
              <w:tabs>
                <w:tab w:val="left" w:pos="5710"/>
              </w:tabs>
              <w:jc w:val="center"/>
              <w:rPr>
                <w:lang w:val="en-US"/>
              </w:rPr>
            </w:pPr>
            <w:r w:rsidRPr="00474548">
              <w:rPr>
                <w:lang w:val="en-US"/>
              </w:rPr>
              <w:t>Initial date</w:t>
            </w:r>
          </w:p>
        </w:tc>
        <w:tc>
          <w:tcPr>
            <w:tcW w:w="478" w:type="pct"/>
            <w:shd w:val="clear" w:color="auto" w:fill="D9D9D9" w:themeFill="background1" w:themeFillShade="D9"/>
          </w:tcPr>
          <w:p w14:paraId="7BE3E904" w14:textId="77777777" w:rsidR="005B605A" w:rsidRPr="00474548" w:rsidRDefault="005B605A" w:rsidP="008E78EC">
            <w:pPr>
              <w:tabs>
                <w:tab w:val="left" w:pos="5710"/>
              </w:tabs>
              <w:jc w:val="center"/>
              <w:rPr>
                <w:lang w:val="en-US"/>
              </w:rPr>
            </w:pPr>
            <w:r w:rsidRPr="00474548">
              <w:rPr>
                <w:lang w:val="en-US"/>
              </w:rPr>
              <w:t>Date</w:t>
            </w:r>
          </w:p>
          <w:p w14:paraId="716F46F8" w14:textId="77777777" w:rsidR="005B605A" w:rsidRPr="00474548" w:rsidRDefault="005B605A" w:rsidP="008E78EC">
            <w:pPr>
              <w:tabs>
                <w:tab w:val="left" w:pos="5710"/>
              </w:tabs>
              <w:jc w:val="center"/>
              <w:rPr>
                <w:lang w:val="en-US"/>
              </w:rPr>
            </w:pPr>
            <w:r w:rsidRPr="00474548">
              <w:rPr>
                <w:lang w:val="en-US"/>
              </w:rPr>
              <w:t xml:space="preserve"> Final</w:t>
            </w:r>
          </w:p>
        </w:tc>
        <w:tc>
          <w:tcPr>
            <w:tcW w:w="281" w:type="pct"/>
            <w:shd w:val="clear" w:color="auto" w:fill="D9D9D9" w:themeFill="background1" w:themeFillShade="D9"/>
          </w:tcPr>
          <w:p w14:paraId="5502967F" w14:textId="79C5D051" w:rsidR="005B605A" w:rsidRPr="00474548" w:rsidRDefault="005B605A" w:rsidP="008E78EC">
            <w:pPr>
              <w:tabs>
                <w:tab w:val="left" w:pos="5710"/>
              </w:tabs>
              <w:jc w:val="center"/>
              <w:rPr>
                <w:lang w:val="en-US"/>
              </w:rPr>
            </w:pPr>
            <w:r w:rsidRPr="00474548">
              <w:rPr>
                <w:lang w:val="en-US"/>
              </w:rPr>
              <w:t>Obs. n</w:t>
            </w:r>
            <w:r w:rsidR="00E602A3" w:rsidRPr="00474548">
              <w:rPr>
                <w:lang w:val="en-US"/>
              </w:rPr>
              <w:t>o.</w:t>
            </w:r>
          </w:p>
        </w:tc>
        <w:tc>
          <w:tcPr>
            <w:tcW w:w="1190" w:type="pct"/>
            <w:shd w:val="clear" w:color="auto" w:fill="D9D9D9" w:themeFill="background1" w:themeFillShade="D9"/>
          </w:tcPr>
          <w:p w14:paraId="5F547075" w14:textId="425C7D37" w:rsidR="005B605A" w:rsidRPr="00474548" w:rsidRDefault="00C33172" w:rsidP="008E78EC">
            <w:pPr>
              <w:tabs>
                <w:tab w:val="left" w:pos="5710"/>
              </w:tabs>
              <w:jc w:val="center"/>
              <w:rPr>
                <w:lang w:val="en-US"/>
              </w:rPr>
            </w:pPr>
            <w:r w:rsidRPr="00474548">
              <w:rPr>
                <w:lang w:val="en-US"/>
              </w:rPr>
              <w:t>Other Significant Events</w:t>
            </w:r>
          </w:p>
        </w:tc>
        <w:tc>
          <w:tcPr>
            <w:tcW w:w="2066" w:type="pct"/>
            <w:shd w:val="clear" w:color="auto" w:fill="D9D9D9" w:themeFill="background1" w:themeFillShade="D9"/>
          </w:tcPr>
          <w:p w14:paraId="456B2F0A" w14:textId="77777777" w:rsidR="005B605A" w:rsidRPr="00474548" w:rsidRDefault="005B605A" w:rsidP="008E78EC">
            <w:pPr>
              <w:tabs>
                <w:tab w:val="left" w:pos="5710"/>
              </w:tabs>
              <w:jc w:val="center"/>
              <w:rPr>
                <w:lang w:val="en-US"/>
              </w:rPr>
            </w:pPr>
            <w:r w:rsidRPr="00474548">
              <w:rPr>
                <w:lang w:val="en-US"/>
              </w:rPr>
              <w:t xml:space="preserve">Description </w:t>
            </w:r>
          </w:p>
        </w:tc>
      </w:tr>
      <w:tr w:rsidR="005B605A" w:rsidRPr="00474548" w14:paraId="6CE1D2A2" w14:textId="77777777" w:rsidTr="00AB10E8">
        <w:trPr>
          <w:trHeight w:val="57"/>
        </w:trPr>
        <w:tc>
          <w:tcPr>
            <w:tcW w:w="507" w:type="pct"/>
          </w:tcPr>
          <w:p w14:paraId="46715817" w14:textId="77777777" w:rsidR="005B605A" w:rsidRPr="00474548" w:rsidRDefault="005B605A" w:rsidP="008E6F8E">
            <w:pPr>
              <w:tabs>
                <w:tab w:val="left" w:pos="5710"/>
              </w:tabs>
              <w:rPr>
                <w:lang w:val="en-US"/>
              </w:rPr>
            </w:pPr>
            <w:r w:rsidRPr="00474548">
              <w:rPr>
                <w:lang w:val="en-US"/>
              </w:rPr>
              <w:t>4</w:t>
            </w:r>
          </w:p>
        </w:tc>
        <w:tc>
          <w:tcPr>
            <w:tcW w:w="478" w:type="pct"/>
          </w:tcPr>
          <w:p w14:paraId="054D54FB" w14:textId="713C8C5B" w:rsidR="009C7240" w:rsidRPr="00474548" w:rsidRDefault="009C7240" w:rsidP="008E6F8E">
            <w:pPr>
              <w:rPr>
                <w:lang w:val="en-US"/>
              </w:rPr>
            </w:pPr>
            <w:r w:rsidRPr="00474548">
              <w:rPr>
                <w:lang w:val="en-US"/>
              </w:rPr>
              <w:t>11/06/1995</w:t>
            </w:r>
          </w:p>
        </w:tc>
        <w:tc>
          <w:tcPr>
            <w:tcW w:w="478" w:type="pct"/>
          </w:tcPr>
          <w:p w14:paraId="02C1E6DF" w14:textId="767A6EEA" w:rsidR="009C7240" w:rsidRPr="00474548" w:rsidRDefault="009C7240" w:rsidP="008E6F8E">
            <w:pPr>
              <w:rPr>
                <w:lang w:val="en-US"/>
              </w:rPr>
            </w:pPr>
            <w:r w:rsidRPr="00474548">
              <w:rPr>
                <w:lang w:val="en-US"/>
              </w:rPr>
              <w:t>11/16/1995</w:t>
            </w:r>
          </w:p>
        </w:tc>
        <w:tc>
          <w:tcPr>
            <w:tcW w:w="281" w:type="pct"/>
          </w:tcPr>
          <w:p w14:paraId="63C2A9A3" w14:textId="77777777" w:rsidR="005B605A" w:rsidRPr="00474548" w:rsidRDefault="005B605A" w:rsidP="008E6F8E">
            <w:pPr>
              <w:tabs>
                <w:tab w:val="left" w:pos="5710"/>
              </w:tabs>
              <w:rPr>
                <w:lang w:val="en-US"/>
              </w:rPr>
            </w:pPr>
            <w:r w:rsidRPr="00474548">
              <w:rPr>
                <w:lang w:val="en-US"/>
              </w:rPr>
              <w:t>8</w:t>
            </w:r>
          </w:p>
        </w:tc>
        <w:tc>
          <w:tcPr>
            <w:tcW w:w="1190" w:type="pct"/>
          </w:tcPr>
          <w:p w14:paraId="3DF2CE00" w14:textId="51FE0EED" w:rsidR="005B605A" w:rsidRPr="00474548" w:rsidRDefault="005B605A" w:rsidP="008E6F8E">
            <w:pPr>
              <w:tabs>
                <w:tab w:val="left" w:pos="5710"/>
              </w:tabs>
              <w:rPr>
                <w:bCs/>
                <w:lang w:val="en-US"/>
              </w:rPr>
            </w:pPr>
            <w:r w:rsidRPr="00474548">
              <w:rPr>
                <w:lang w:val="en-US"/>
              </w:rPr>
              <w:t xml:space="preserve">Ordinance n. 267, of </w:t>
            </w:r>
            <w:r w:rsidR="00607804" w:rsidRPr="00474548">
              <w:rPr>
                <w:lang w:val="en-US"/>
              </w:rPr>
              <w:t>11/03/1995</w:t>
            </w:r>
          </w:p>
        </w:tc>
        <w:tc>
          <w:tcPr>
            <w:tcW w:w="2066" w:type="pct"/>
          </w:tcPr>
          <w:p w14:paraId="26D5A32E" w14:textId="77777777" w:rsidR="005B605A" w:rsidRPr="00474548" w:rsidRDefault="005B605A" w:rsidP="008E6F8E">
            <w:pPr>
              <w:rPr>
                <w:lang w:val="en-US"/>
              </w:rPr>
            </w:pPr>
            <w:r w:rsidRPr="00474548">
              <w:rPr>
                <w:lang w:val="en-US"/>
              </w:rPr>
              <w:t>Readjustments in electricity services supply rates.</w:t>
            </w:r>
          </w:p>
        </w:tc>
      </w:tr>
      <w:tr w:rsidR="005B605A" w:rsidRPr="00474548" w14:paraId="050C16B8" w14:textId="77777777" w:rsidTr="00AB10E8">
        <w:trPr>
          <w:trHeight w:val="786"/>
        </w:trPr>
        <w:tc>
          <w:tcPr>
            <w:tcW w:w="507" w:type="pct"/>
          </w:tcPr>
          <w:p w14:paraId="2E5A7029" w14:textId="77777777" w:rsidR="005B605A" w:rsidRPr="00474548" w:rsidRDefault="005B605A" w:rsidP="008E6F8E">
            <w:pPr>
              <w:tabs>
                <w:tab w:val="left" w:pos="5710"/>
              </w:tabs>
              <w:rPr>
                <w:lang w:val="en-US"/>
              </w:rPr>
            </w:pPr>
            <w:r w:rsidRPr="00474548">
              <w:rPr>
                <w:lang w:val="en-US"/>
              </w:rPr>
              <w:t>9</w:t>
            </w:r>
          </w:p>
        </w:tc>
        <w:tc>
          <w:tcPr>
            <w:tcW w:w="478" w:type="pct"/>
          </w:tcPr>
          <w:p w14:paraId="7CBA30DD" w14:textId="32BA48F4" w:rsidR="005B605A" w:rsidRPr="00474548" w:rsidRDefault="009C7240" w:rsidP="008E6F8E">
            <w:pPr>
              <w:rPr>
                <w:lang w:val="en-US"/>
              </w:rPr>
            </w:pPr>
            <w:r w:rsidRPr="00474548">
              <w:rPr>
                <w:lang w:val="en-US"/>
              </w:rPr>
              <w:t>08/26/1998</w:t>
            </w:r>
          </w:p>
        </w:tc>
        <w:tc>
          <w:tcPr>
            <w:tcW w:w="478" w:type="pct"/>
          </w:tcPr>
          <w:p w14:paraId="03900A38" w14:textId="62C3C6AD" w:rsidR="005B605A" w:rsidRPr="00474548" w:rsidRDefault="009C7240" w:rsidP="008E6F8E">
            <w:pPr>
              <w:rPr>
                <w:lang w:val="en-US"/>
              </w:rPr>
            </w:pPr>
            <w:r w:rsidRPr="00474548">
              <w:rPr>
                <w:lang w:val="en-US"/>
              </w:rPr>
              <w:t>10/06/1998</w:t>
            </w:r>
          </w:p>
        </w:tc>
        <w:tc>
          <w:tcPr>
            <w:tcW w:w="281" w:type="pct"/>
          </w:tcPr>
          <w:p w14:paraId="47E4AAE9" w14:textId="77777777" w:rsidR="005B605A" w:rsidRPr="00474548" w:rsidRDefault="005B605A" w:rsidP="008E6F8E">
            <w:pPr>
              <w:tabs>
                <w:tab w:val="left" w:pos="5710"/>
              </w:tabs>
              <w:rPr>
                <w:lang w:val="en-US"/>
              </w:rPr>
            </w:pPr>
            <w:r w:rsidRPr="00474548">
              <w:rPr>
                <w:lang w:val="en-US"/>
              </w:rPr>
              <w:t>29</w:t>
            </w:r>
          </w:p>
        </w:tc>
        <w:tc>
          <w:tcPr>
            <w:tcW w:w="1190" w:type="pct"/>
          </w:tcPr>
          <w:p w14:paraId="2A7D78B3" w14:textId="0F88A853" w:rsidR="005B605A" w:rsidRPr="00474548" w:rsidRDefault="00BB2864" w:rsidP="008E6F8E">
            <w:pPr>
              <w:rPr>
                <w:bCs/>
                <w:bdr w:val="none" w:sz="0" w:space="0" w:color="auto" w:frame="1"/>
                <w:lang w:val="en-US"/>
              </w:rPr>
            </w:pPr>
            <w:hyperlink r:id="rId14" w:tooltip="Open details...">
              <w:r w:rsidR="00B21DDD" w:rsidRPr="00474548">
                <w:rPr>
                  <w:rStyle w:val="Hyperlink"/>
                  <w:bdr w:val="none" w:sz="0" w:space="0" w:color="auto" w:frame="1"/>
                  <w:lang w:val="en-US"/>
                </w:rPr>
                <w:t>RESOLUTION 273/1998</w:t>
              </w:r>
            </w:hyperlink>
            <w:r w:rsidR="00B21DDD" w:rsidRPr="00474548">
              <w:rPr>
                <w:bdr w:val="none" w:sz="0" w:space="0" w:color="auto" w:frame="1"/>
                <w:lang w:val="en-US"/>
              </w:rPr>
              <w:t xml:space="preserve"> published on </w:t>
            </w:r>
            <w:r w:rsidR="00607804" w:rsidRPr="00474548">
              <w:rPr>
                <w:bdr w:val="none" w:sz="0" w:space="0" w:color="auto" w:frame="1"/>
                <w:lang w:val="en-US"/>
              </w:rPr>
              <w:t>08/26/1998</w:t>
            </w:r>
          </w:p>
          <w:p w14:paraId="2A8C2C84" w14:textId="77777777" w:rsidR="005B605A" w:rsidRPr="00474548" w:rsidRDefault="005B605A" w:rsidP="008E6F8E">
            <w:pPr>
              <w:tabs>
                <w:tab w:val="left" w:pos="5710"/>
              </w:tabs>
              <w:rPr>
                <w:bCs/>
                <w:lang w:val="en-US"/>
              </w:rPr>
            </w:pPr>
          </w:p>
        </w:tc>
        <w:tc>
          <w:tcPr>
            <w:tcW w:w="2066" w:type="pct"/>
          </w:tcPr>
          <w:p w14:paraId="5E94945A" w14:textId="08AE3333" w:rsidR="005B605A" w:rsidRPr="00474548" w:rsidRDefault="005B605A" w:rsidP="008E6F8E">
            <w:pPr>
              <w:rPr>
                <w:lang w:val="en-US"/>
              </w:rPr>
            </w:pPr>
            <w:r w:rsidRPr="00474548">
              <w:rPr>
                <w:shd w:val="clear" w:color="auto" w:fill="FFFFFF"/>
                <w:lang w:val="en-US"/>
              </w:rPr>
              <w:t xml:space="preserve">Authorizes ELETROBRAS to market electricity in the Wholesale Electricity Market - MAE (Mercado </w:t>
            </w:r>
            <w:proofErr w:type="spellStart"/>
            <w:r w:rsidRPr="00474548">
              <w:rPr>
                <w:shd w:val="clear" w:color="auto" w:fill="FFFFFF"/>
                <w:lang w:val="en-US"/>
              </w:rPr>
              <w:t>Atacadista</w:t>
            </w:r>
            <w:proofErr w:type="spellEnd"/>
            <w:r w:rsidRPr="00474548">
              <w:rPr>
                <w:shd w:val="clear" w:color="auto" w:fill="FFFFFF"/>
                <w:lang w:val="en-US"/>
              </w:rPr>
              <w:t xml:space="preserve"> de </w:t>
            </w:r>
            <w:proofErr w:type="spellStart"/>
            <w:r w:rsidRPr="00474548">
              <w:rPr>
                <w:shd w:val="clear" w:color="auto" w:fill="FFFFFF"/>
                <w:lang w:val="en-US"/>
              </w:rPr>
              <w:t>Energia</w:t>
            </w:r>
            <w:proofErr w:type="spellEnd"/>
            <w:r w:rsidRPr="00474548">
              <w:rPr>
                <w:shd w:val="clear" w:color="auto" w:fill="FFFFFF"/>
                <w:lang w:val="en-US"/>
              </w:rPr>
              <w:t xml:space="preserve"> </w:t>
            </w:r>
            <w:proofErr w:type="spellStart"/>
            <w:r w:rsidRPr="00474548">
              <w:rPr>
                <w:shd w:val="clear" w:color="auto" w:fill="FFFFFF"/>
                <w:lang w:val="en-US"/>
              </w:rPr>
              <w:t>Elétrica</w:t>
            </w:r>
            <w:proofErr w:type="spellEnd"/>
            <w:r w:rsidRPr="00474548">
              <w:rPr>
                <w:shd w:val="clear" w:color="auto" w:fill="FFFFFF"/>
                <w:lang w:val="en-US"/>
              </w:rPr>
              <w:t>).</w:t>
            </w:r>
          </w:p>
        </w:tc>
      </w:tr>
      <w:tr w:rsidR="005B605A" w:rsidRPr="00474548" w14:paraId="3B2DE69B" w14:textId="77777777" w:rsidTr="00AB10E8">
        <w:trPr>
          <w:trHeight w:val="57"/>
        </w:trPr>
        <w:tc>
          <w:tcPr>
            <w:tcW w:w="507" w:type="pct"/>
          </w:tcPr>
          <w:p w14:paraId="3BD0320A" w14:textId="77777777" w:rsidR="005B605A" w:rsidRPr="00474548" w:rsidRDefault="005B605A" w:rsidP="008E6F8E">
            <w:pPr>
              <w:tabs>
                <w:tab w:val="left" w:pos="5710"/>
              </w:tabs>
              <w:rPr>
                <w:lang w:val="en-US"/>
              </w:rPr>
            </w:pPr>
            <w:r w:rsidRPr="00474548">
              <w:rPr>
                <w:lang w:val="en-US"/>
              </w:rPr>
              <w:t>10</w:t>
            </w:r>
          </w:p>
        </w:tc>
        <w:tc>
          <w:tcPr>
            <w:tcW w:w="478" w:type="pct"/>
          </w:tcPr>
          <w:p w14:paraId="06DBCDF0" w14:textId="5220244E" w:rsidR="005B605A" w:rsidRPr="00474548" w:rsidRDefault="009C7240" w:rsidP="008E6F8E">
            <w:pPr>
              <w:rPr>
                <w:lang w:val="en-US"/>
              </w:rPr>
            </w:pPr>
            <w:r w:rsidRPr="00474548">
              <w:rPr>
                <w:lang w:val="en-US"/>
              </w:rPr>
              <w:t>10/21/1998</w:t>
            </w:r>
          </w:p>
        </w:tc>
        <w:tc>
          <w:tcPr>
            <w:tcW w:w="478" w:type="pct"/>
          </w:tcPr>
          <w:p w14:paraId="52CBCD9B" w14:textId="2AD83856" w:rsidR="005B605A" w:rsidRPr="00474548" w:rsidRDefault="009C7240" w:rsidP="008E6F8E">
            <w:pPr>
              <w:rPr>
                <w:lang w:val="en-US"/>
              </w:rPr>
            </w:pPr>
            <w:r w:rsidRPr="00474548">
              <w:rPr>
                <w:lang w:val="en-US"/>
              </w:rPr>
              <w:t>10/29/1998</w:t>
            </w:r>
          </w:p>
        </w:tc>
        <w:tc>
          <w:tcPr>
            <w:tcW w:w="281" w:type="pct"/>
          </w:tcPr>
          <w:p w14:paraId="6F9BA7BF" w14:textId="77777777" w:rsidR="005B605A" w:rsidRPr="00474548" w:rsidRDefault="005B605A" w:rsidP="008E6F8E">
            <w:pPr>
              <w:tabs>
                <w:tab w:val="left" w:pos="5710"/>
              </w:tabs>
              <w:rPr>
                <w:lang w:val="en-US"/>
              </w:rPr>
            </w:pPr>
            <w:r w:rsidRPr="00474548">
              <w:rPr>
                <w:lang w:val="en-US"/>
              </w:rPr>
              <w:t>7</w:t>
            </w:r>
          </w:p>
        </w:tc>
        <w:tc>
          <w:tcPr>
            <w:tcW w:w="1190" w:type="pct"/>
          </w:tcPr>
          <w:p w14:paraId="417F2E91" w14:textId="77777777" w:rsidR="005B605A" w:rsidRPr="00474548" w:rsidRDefault="005B605A" w:rsidP="008E6F8E">
            <w:pPr>
              <w:rPr>
                <w:bCs/>
                <w:bdr w:val="none" w:sz="0" w:space="0" w:color="auto" w:frame="1"/>
                <w:lang w:val="en-US"/>
              </w:rPr>
            </w:pPr>
            <w:r w:rsidRPr="00474548">
              <w:rPr>
                <w:bdr w:val="none" w:sz="0" w:space="0" w:color="auto" w:frame="1"/>
                <w:lang w:val="en-US"/>
              </w:rPr>
              <w:t xml:space="preserve">Port. </w:t>
            </w:r>
            <w:proofErr w:type="spellStart"/>
            <w:r w:rsidRPr="00474548">
              <w:rPr>
                <w:bdr w:val="none" w:sz="0" w:space="0" w:color="auto" w:frame="1"/>
                <w:lang w:val="en-US"/>
              </w:rPr>
              <w:t>Interm</w:t>
            </w:r>
            <w:proofErr w:type="spellEnd"/>
            <w:r w:rsidRPr="00474548">
              <w:rPr>
                <w:bdr w:val="none" w:sz="0" w:space="0" w:color="auto" w:frame="1"/>
                <w:lang w:val="en-US"/>
              </w:rPr>
              <w:t xml:space="preserve">. 281/1998 </w:t>
            </w:r>
          </w:p>
          <w:p w14:paraId="472A44F8" w14:textId="676DDA79" w:rsidR="005B605A" w:rsidRPr="00474548" w:rsidRDefault="00607804" w:rsidP="008E6F8E">
            <w:pPr>
              <w:rPr>
                <w:bCs/>
                <w:lang w:val="en-US"/>
              </w:rPr>
            </w:pPr>
            <w:proofErr w:type="gramStart"/>
            <w:r w:rsidRPr="00474548">
              <w:rPr>
                <w:bdr w:val="none" w:sz="0" w:space="0" w:color="auto" w:frame="1"/>
                <w:lang w:val="en-US"/>
              </w:rPr>
              <w:t>o</w:t>
            </w:r>
            <w:r w:rsidR="005B605A" w:rsidRPr="00474548">
              <w:rPr>
                <w:bdr w:val="none" w:sz="0" w:space="0" w:color="auto" w:frame="1"/>
                <w:lang w:val="en-US"/>
              </w:rPr>
              <w:t>f</w:t>
            </w:r>
            <w:proofErr w:type="gramEnd"/>
            <w:r w:rsidR="005B605A" w:rsidRPr="00474548">
              <w:rPr>
                <w:bdr w:val="none" w:sz="0" w:space="0" w:color="auto" w:frame="1"/>
                <w:lang w:val="en-US"/>
              </w:rPr>
              <w:t xml:space="preserve"> </w:t>
            </w:r>
            <w:r w:rsidRPr="00474548">
              <w:rPr>
                <w:bdr w:val="none" w:sz="0" w:space="0" w:color="auto" w:frame="1"/>
                <w:lang w:val="en-US"/>
              </w:rPr>
              <w:t>10/27/1998</w:t>
            </w:r>
          </w:p>
        </w:tc>
        <w:tc>
          <w:tcPr>
            <w:tcW w:w="2066" w:type="pct"/>
          </w:tcPr>
          <w:p w14:paraId="3BA4C532" w14:textId="09ABFA0D" w:rsidR="005B605A" w:rsidRPr="00474548" w:rsidRDefault="005B605A" w:rsidP="008E6F8E">
            <w:pPr>
              <w:rPr>
                <w:lang w:val="en-US"/>
              </w:rPr>
            </w:pPr>
            <w:r w:rsidRPr="00474548">
              <w:rPr>
                <w:shd w:val="clear" w:color="auto" w:fill="FFFFFF"/>
                <w:lang w:val="en-US"/>
              </w:rPr>
              <w:t xml:space="preserve">Authorizes </w:t>
            </w:r>
            <w:r w:rsidR="001634C9" w:rsidRPr="00474548">
              <w:rPr>
                <w:lang w:val="en-US"/>
              </w:rPr>
              <w:t>ANEEL</w:t>
            </w:r>
            <w:r w:rsidR="001634C9" w:rsidRPr="00474548">
              <w:rPr>
                <w:shd w:val="clear" w:color="auto" w:fill="FFFFFF"/>
                <w:lang w:val="en-US"/>
              </w:rPr>
              <w:t xml:space="preserve"> </w:t>
            </w:r>
            <w:r w:rsidRPr="00474548">
              <w:rPr>
                <w:shd w:val="clear" w:color="auto" w:fill="FFFFFF"/>
                <w:lang w:val="en-US"/>
              </w:rPr>
              <w:t>to set new values of electricity tariffs resulting from adjustment and review.</w:t>
            </w:r>
          </w:p>
        </w:tc>
      </w:tr>
      <w:tr w:rsidR="005B605A" w:rsidRPr="00474548" w14:paraId="2AE05BFA" w14:textId="77777777" w:rsidTr="00AB10E8">
        <w:trPr>
          <w:trHeight w:val="710"/>
        </w:trPr>
        <w:tc>
          <w:tcPr>
            <w:tcW w:w="507" w:type="pct"/>
          </w:tcPr>
          <w:p w14:paraId="6AF4A12C" w14:textId="77777777" w:rsidR="005B605A" w:rsidRPr="00474548" w:rsidRDefault="005B605A" w:rsidP="008E6F8E">
            <w:pPr>
              <w:tabs>
                <w:tab w:val="left" w:pos="5710"/>
              </w:tabs>
              <w:rPr>
                <w:lang w:val="en-US"/>
              </w:rPr>
            </w:pPr>
            <w:r w:rsidRPr="00474548">
              <w:rPr>
                <w:lang w:val="en-US"/>
              </w:rPr>
              <w:t>17</w:t>
            </w:r>
          </w:p>
        </w:tc>
        <w:tc>
          <w:tcPr>
            <w:tcW w:w="478" w:type="pct"/>
          </w:tcPr>
          <w:p w14:paraId="0A648A36" w14:textId="52B8F69E" w:rsidR="005B605A" w:rsidRPr="00474548" w:rsidRDefault="009C7240" w:rsidP="008E6F8E">
            <w:pPr>
              <w:rPr>
                <w:lang w:val="en-US"/>
              </w:rPr>
            </w:pPr>
            <w:r w:rsidRPr="00474548">
              <w:rPr>
                <w:lang w:val="en-US"/>
              </w:rPr>
              <w:t>01/15/2002</w:t>
            </w:r>
          </w:p>
        </w:tc>
        <w:tc>
          <w:tcPr>
            <w:tcW w:w="478" w:type="pct"/>
          </w:tcPr>
          <w:p w14:paraId="5F2573D0" w14:textId="1A01E7A4" w:rsidR="005B605A" w:rsidRPr="00474548" w:rsidRDefault="009C7240" w:rsidP="008E6F8E">
            <w:pPr>
              <w:rPr>
                <w:lang w:val="en-US"/>
              </w:rPr>
            </w:pPr>
            <w:r w:rsidRPr="00474548">
              <w:rPr>
                <w:lang w:val="en-US"/>
              </w:rPr>
              <w:t>01/21/2002</w:t>
            </w:r>
          </w:p>
        </w:tc>
        <w:tc>
          <w:tcPr>
            <w:tcW w:w="281" w:type="pct"/>
          </w:tcPr>
          <w:p w14:paraId="3AD8E49B" w14:textId="77777777" w:rsidR="005B605A" w:rsidRPr="00474548" w:rsidRDefault="005B605A" w:rsidP="008E6F8E">
            <w:pPr>
              <w:tabs>
                <w:tab w:val="left" w:pos="5710"/>
              </w:tabs>
              <w:rPr>
                <w:lang w:val="en-US"/>
              </w:rPr>
            </w:pPr>
            <w:r w:rsidRPr="00474548">
              <w:rPr>
                <w:lang w:val="en-US"/>
              </w:rPr>
              <w:t>5</w:t>
            </w:r>
          </w:p>
        </w:tc>
        <w:tc>
          <w:tcPr>
            <w:tcW w:w="1190" w:type="pct"/>
          </w:tcPr>
          <w:p w14:paraId="2DC6D352" w14:textId="77777777" w:rsidR="005B605A" w:rsidRPr="00474548" w:rsidRDefault="00BB2864" w:rsidP="008E6F8E">
            <w:pPr>
              <w:rPr>
                <w:lang w:val="en-US"/>
              </w:rPr>
            </w:pPr>
            <w:hyperlink r:id="rId15" w:tooltip="Open details...">
              <w:r w:rsidR="00B21DDD" w:rsidRPr="00474548">
                <w:rPr>
                  <w:rStyle w:val="Hyperlink"/>
                  <w:bdr w:val="none" w:sz="0" w:space="0" w:color="auto" w:frame="1"/>
                  <w:lang w:val="en-US"/>
                </w:rPr>
                <w:t>RES. GCE n. 102/2002</w:t>
              </w:r>
            </w:hyperlink>
          </w:p>
          <w:p w14:paraId="3FA5AF6E" w14:textId="0CF8B46E" w:rsidR="005B605A" w:rsidRPr="00474548" w:rsidRDefault="005B605A" w:rsidP="008E6F8E">
            <w:pPr>
              <w:rPr>
                <w:bCs/>
                <w:lang w:val="en-US"/>
              </w:rPr>
            </w:pPr>
            <w:r w:rsidRPr="00474548">
              <w:rPr>
                <w:lang w:val="en-US"/>
              </w:rPr>
              <w:t xml:space="preserve">Pub. </w:t>
            </w:r>
            <w:r w:rsidR="00607804" w:rsidRPr="00474548">
              <w:rPr>
                <w:lang w:val="en-US"/>
              </w:rPr>
              <w:t>01/18/2002</w:t>
            </w:r>
          </w:p>
        </w:tc>
        <w:tc>
          <w:tcPr>
            <w:tcW w:w="2066" w:type="pct"/>
          </w:tcPr>
          <w:p w14:paraId="5247E31B" w14:textId="3C2EA6FE" w:rsidR="005B605A" w:rsidRPr="00474548" w:rsidRDefault="001634C9" w:rsidP="008E6F8E">
            <w:pPr>
              <w:rPr>
                <w:lang w:val="en-US"/>
              </w:rPr>
            </w:pPr>
            <w:r w:rsidRPr="00474548">
              <w:rPr>
                <w:shd w:val="clear" w:color="auto" w:fill="FFFFFF"/>
                <w:lang w:val="en-US"/>
              </w:rPr>
              <w:t xml:space="preserve">Maintains </w:t>
            </w:r>
            <w:r w:rsidR="005B605A" w:rsidRPr="00474548">
              <w:rPr>
                <w:shd w:val="clear" w:color="auto" w:fill="FFFFFF"/>
                <w:lang w:val="en-US"/>
              </w:rPr>
              <w:t>the prices of electricity charged in MAE among the agents affected by the rationing measures.</w:t>
            </w:r>
          </w:p>
        </w:tc>
      </w:tr>
      <w:tr w:rsidR="005B605A" w:rsidRPr="00474548" w14:paraId="0CD7A031" w14:textId="77777777" w:rsidTr="00AB10E8">
        <w:trPr>
          <w:trHeight w:val="691"/>
        </w:trPr>
        <w:tc>
          <w:tcPr>
            <w:tcW w:w="507" w:type="pct"/>
            <w:vMerge w:val="restart"/>
          </w:tcPr>
          <w:p w14:paraId="7C353F23" w14:textId="77777777" w:rsidR="005B605A" w:rsidRPr="00474548" w:rsidRDefault="005B605A" w:rsidP="008E6F8E">
            <w:pPr>
              <w:tabs>
                <w:tab w:val="left" w:pos="5710"/>
              </w:tabs>
              <w:rPr>
                <w:lang w:val="en-US"/>
              </w:rPr>
            </w:pPr>
            <w:r w:rsidRPr="00474548">
              <w:rPr>
                <w:lang w:val="en-US"/>
              </w:rPr>
              <w:t>19</w:t>
            </w:r>
          </w:p>
        </w:tc>
        <w:tc>
          <w:tcPr>
            <w:tcW w:w="478" w:type="pct"/>
            <w:vMerge w:val="restart"/>
          </w:tcPr>
          <w:p w14:paraId="7C13E904" w14:textId="309B7A1C" w:rsidR="005B605A" w:rsidRPr="00474548" w:rsidRDefault="009C7240" w:rsidP="008E6F8E">
            <w:pPr>
              <w:rPr>
                <w:lang w:val="en-US"/>
              </w:rPr>
            </w:pPr>
            <w:r w:rsidRPr="00474548">
              <w:rPr>
                <w:lang w:val="en-US"/>
              </w:rPr>
              <w:t>04/02/2003</w:t>
            </w:r>
          </w:p>
        </w:tc>
        <w:tc>
          <w:tcPr>
            <w:tcW w:w="478" w:type="pct"/>
            <w:vMerge w:val="restart"/>
          </w:tcPr>
          <w:p w14:paraId="665748AD" w14:textId="239990B8" w:rsidR="005B605A" w:rsidRPr="00474548" w:rsidRDefault="009C7240" w:rsidP="008E6F8E">
            <w:pPr>
              <w:rPr>
                <w:lang w:val="en-US"/>
              </w:rPr>
            </w:pPr>
            <w:r w:rsidRPr="00474548">
              <w:rPr>
                <w:lang w:val="en-US"/>
              </w:rPr>
              <w:t>05/12/2003</w:t>
            </w:r>
          </w:p>
        </w:tc>
        <w:tc>
          <w:tcPr>
            <w:tcW w:w="281" w:type="pct"/>
            <w:vMerge w:val="restart"/>
          </w:tcPr>
          <w:p w14:paraId="3D8BF2CF" w14:textId="77777777" w:rsidR="005B605A" w:rsidRPr="00474548" w:rsidRDefault="005B605A" w:rsidP="008E6F8E">
            <w:pPr>
              <w:tabs>
                <w:tab w:val="left" w:pos="5710"/>
              </w:tabs>
              <w:rPr>
                <w:lang w:val="en-US"/>
              </w:rPr>
            </w:pPr>
            <w:r w:rsidRPr="00474548">
              <w:rPr>
                <w:lang w:val="en-US"/>
              </w:rPr>
              <w:t>26</w:t>
            </w:r>
          </w:p>
        </w:tc>
        <w:tc>
          <w:tcPr>
            <w:tcW w:w="1190" w:type="pct"/>
          </w:tcPr>
          <w:p w14:paraId="3CEEC07F" w14:textId="086361B7" w:rsidR="005B605A" w:rsidRPr="00474548" w:rsidRDefault="00BB2864" w:rsidP="008E6F8E">
            <w:pPr>
              <w:rPr>
                <w:rStyle w:val="nomeproposicao"/>
                <w:b/>
                <w:lang w:val="en-US"/>
              </w:rPr>
            </w:pPr>
            <w:hyperlink r:id="rId16" w:tooltip="Open details...">
              <w:proofErr w:type="spellStart"/>
              <w:r w:rsidR="00B21DDD" w:rsidRPr="00474548">
                <w:rPr>
                  <w:rStyle w:val="Hyperlink"/>
                  <w:bdr w:val="none" w:sz="0" w:space="0" w:color="auto" w:frame="1"/>
                  <w:lang w:val="en-US"/>
                </w:rPr>
                <w:t>Aneel's</w:t>
              </w:r>
              <w:proofErr w:type="spellEnd"/>
              <w:r w:rsidR="00B21DDD" w:rsidRPr="00474548">
                <w:rPr>
                  <w:rStyle w:val="Hyperlink"/>
                  <w:bdr w:val="none" w:sz="0" w:space="0" w:color="auto" w:frame="1"/>
                  <w:lang w:val="en-US"/>
                </w:rPr>
                <w:t xml:space="preserve"> Resolution 152/2003</w:t>
              </w:r>
            </w:hyperlink>
            <w:r w:rsidR="00B21DDD" w:rsidRPr="00474548">
              <w:rPr>
                <w:bdr w:val="none" w:sz="0" w:space="0" w:color="auto" w:frame="1"/>
                <w:lang w:val="en-US"/>
              </w:rPr>
              <w:t xml:space="preserve"> of </w:t>
            </w:r>
            <w:r w:rsidR="00607804" w:rsidRPr="00474548">
              <w:rPr>
                <w:bdr w:val="none" w:sz="0" w:space="0" w:color="auto" w:frame="1"/>
                <w:lang w:val="en-US"/>
              </w:rPr>
              <w:t>04/03/2003</w:t>
            </w:r>
          </w:p>
        </w:tc>
        <w:tc>
          <w:tcPr>
            <w:tcW w:w="2066" w:type="pct"/>
          </w:tcPr>
          <w:p w14:paraId="2E5BA50D" w14:textId="77777777" w:rsidR="005B605A" w:rsidRPr="00474548" w:rsidRDefault="005B605A" w:rsidP="008E6F8E">
            <w:pPr>
              <w:rPr>
                <w:lang w:val="en-US"/>
              </w:rPr>
            </w:pPr>
            <w:r w:rsidRPr="00474548">
              <w:rPr>
                <w:shd w:val="clear" w:color="auto" w:fill="FFFFFF"/>
                <w:lang w:val="en-US"/>
              </w:rPr>
              <w:t>Changes the calculating method of the electricity distribution systems usage rates at periodic tariff review.</w:t>
            </w:r>
          </w:p>
        </w:tc>
      </w:tr>
      <w:tr w:rsidR="005B605A" w:rsidRPr="00474548" w14:paraId="6321605C" w14:textId="77777777" w:rsidTr="00AB10E8">
        <w:trPr>
          <w:trHeight w:val="404"/>
        </w:trPr>
        <w:tc>
          <w:tcPr>
            <w:tcW w:w="507" w:type="pct"/>
            <w:vMerge/>
          </w:tcPr>
          <w:p w14:paraId="472941AE" w14:textId="77777777" w:rsidR="005B605A" w:rsidRPr="00474548" w:rsidRDefault="005B605A" w:rsidP="008E6F8E">
            <w:pPr>
              <w:tabs>
                <w:tab w:val="left" w:pos="5710"/>
              </w:tabs>
              <w:rPr>
                <w:lang w:val="en-US"/>
              </w:rPr>
            </w:pPr>
          </w:p>
        </w:tc>
        <w:tc>
          <w:tcPr>
            <w:tcW w:w="478" w:type="pct"/>
            <w:vMerge/>
          </w:tcPr>
          <w:p w14:paraId="14C98DCD" w14:textId="77777777" w:rsidR="005B605A" w:rsidRPr="00474548" w:rsidRDefault="005B605A" w:rsidP="008E6F8E">
            <w:pPr>
              <w:rPr>
                <w:lang w:val="en-US"/>
              </w:rPr>
            </w:pPr>
          </w:p>
        </w:tc>
        <w:tc>
          <w:tcPr>
            <w:tcW w:w="478" w:type="pct"/>
            <w:vMerge/>
          </w:tcPr>
          <w:p w14:paraId="13519FEE" w14:textId="77777777" w:rsidR="005B605A" w:rsidRPr="00474548" w:rsidRDefault="005B605A" w:rsidP="008E6F8E">
            <w:pPr>
              <w:rPr>
                <w:lang w:val="en-US"/>
              </w:rPr>
            </w:pPr>
          </w:p>
        </w:tc>
        <w:tc>
          <w:tcPr>
            <w:tcW w:w="281" w:type="pct"/>
            <w:vMerge/>
          </w:tcPr>
          <w:p w14:paraId="3D71389D" w14:textId="77777777" w:rsidR="005B605A" w:rsidRPr="00474548" w:rsidRDefault="005B605A" w:rsidP="008E6F8E">
            <w:pPr>
              <w:tabs>
                <w:tab w:val="left" w:pos="5710"/>
              </w:tabs>
              <w:rPr>
                <w:lang w:val="en-US"/>
              </w:rPr>
            </w:pPr>
          </w:p>
        </w:tc>
        <w:tc>
          <w:tcPr>
            <w:tcW w:w="1190" w:type="pct"/>
          </w:tcPr>
          <w:p w14:paraId="3B95BFFE" w14:textId="67A85071" w:rsidR="005B605A" w:rsidRPr="00474548" w:rsidRDefault="005B605A" w:rsidP="008E6F8E">
            <w:pPr>
              <w:tabs>
                <w:tab w:val="left" w:pos="5710"/>
              </w:tabs>
              <w:rPr>
                <w:lang w:val="en-US"/>
              </w:rPr>
            </w:pPr>
            <w:r w:rsidRPr="00474548">
              <w:rPr>
                <w:lang w:val="en-US"/>
              </w:rPr>
              <w:t>Ordinance n. 4</w:t>
            </w:r>
            <w:r w:rsidR="00607804" w:rsidRPr="00474548">
              <w:rPr>
                <w:lang w:val="en-US"/>
              </w:rPr>
              <w:t>,</w:t>
            </w:r>
            <w:r w:rsidRPr="00474548">
              <w:rPr>
                <w:lang w:val="en-US"/>
              </w:rPr>
              <w:t>667 of 04/04/2003</w:t>
            </w:r>
          </w:p>
        </w:tc>
        <w:tc>
          <w:tcPr>
            <w:tcW w:w="2066" w:type="pct"/>
          </w:tcPr>
          <w:p w14:paraId="7AF34EC2" w14:textId="3F22EA46" w:rsidR="005B605A" w:rsidRPr="00474548" w:rsidRDefault="005B605A" w:rsidP="008E6F8E">
            <w:pPr>
              <w:rPr>
                <w:shd w:val="clear" w:color="auto" w:fill="FFFFFF"/>
                <w:lang w:val="en-US"/>
              </w:rPr>
            </w:pPr>
            <w:r w:rsidRPr="00474548">
              <w:rPr>
                <w:lang w:val="en-US"/>
              </w:rPr>
              <w:t xml:space="preserve">Speaks about the electricity </w:t>
            </w:r>
            <w:r w:rsidR="001634C9" w:rsidRPr="00474548">
              <w:rPr>
                <w:lang w:val="en-US"/>
              </w:rPr>
              <w:t xml:space="preserve">costs </w:t>
            </w:r>
            <w:r w:rsidRPr="00474548">
              <w:rPr>
                <w:lang w:val="en-US"/>
              </w:rPr>
              <w:t xml:space="preserve">and prices. </w:t>
            </w:r>
          </w:p>
        </w:tc>
      </w:tr>
      <w:tr w:rsidR="005B605A" w:rsidRPr="00474548" w14:paraId="1F4218DE" w14:textId="77777777" w:rsidTr="00AB10E8">
        <w:trPr>
          <w:trHeight w:val="57"/>
        </w:trPr>
        <w:tc>
          <w:tcPr>
            <w:tcW w:w="507" w:type="pct"/>
          </w:tcPr>
          <w:p w14:paraId="127A9B3E" w14:textId="77777777" w:rsidR="005B605A" w:rsidRPr="00474548" w:rsidRDefault="005B605A" w:rsidP="008E6F8E">
            <w:pPr>
              <w:tabs>
                <w:tab w:val="left" w:pos="5710"/>
              </w:tabs>
              <w:rPr>
                <w:lang w:val="en-US"/>
              </w:rPr>
            </w:pPr>
            <w:r w:rsidRPr="00474548">
              <w:rPr>
                <w:lang w:val="en-US"/>
              </w:rPr>
              <w:t>20</w:t>
            </w:r>
          </w:p>
        </w:tc>
        <w:tc>
          <w:tcPr>
            <w:tcW w:w="478" w:type="pct"/>
          </w:tcPr>
          <w:p w14:paraId="60EF707D" w14:textId="6D0FEEA4" w:rsidR="005B605A" w:rsidRPr="00474548" w:rsidRDefault="009C7240" w:rsidP="008E6F8E">
            <w:pPr>
              <w:rPr>
                <w:lang w:val="en-US"/>
              </w:rPr>
            </w:pPr>
            <w:r w:rsidRPr="00474548">
              <w:rPr>
                <w:lang w:val="en-US"/>
              </w:rPr>
              <w:t>09/05/2003</w:t>
            </w:r>
          </w:p>
        </w:tc>
        <w:tc>
          <w:tcPr>
            <w:tcW w:w="478" w:type="pct"/>
          </w:tcPr>
          <w:p w14:paraId="1C16A37A" w14:textId="71DD84B8" w:rsidR="005B605A" w:rsidRPr="00474548" w:rsidRDefault="009C7240" w:rsidP="008E6F8E">
            <w:pPr>
              <w:rPr>
                <w:lang w:val="en-US"/>
              </w:rPr>
            </w:pPr>
            <w:r w:rsidRPr="00474548">
              <w:rPr>
                <w:lang w:val="en-US"/>
              </w:rPr>
              <w:t>09/11/2003</w:t>
            </w:r>
          </w:p>
        </w:tc>
        <w:tc>
          <w:tcPr>
            <w:tcW w:w="281" w:type="pct"/>
          </w:tcPr>
          <w:p w14:paraId="2B8A5018" w14:textId="77777777" w:rsidR="005B605A" w:rsidRPr="00474548" w:rsidRDefault="005B605A" w:rsidP="008E6F8E">
            <w:pPr>
              <w:tabs>
                <w:tab w:val="left" w:pos="5710"/>
              </w:tabs>
              <w:rPr>
                <w:lang w:val="en-US"/>
              </w:rPr>
            </w:pPr>
            <w:r w:rsidRPr="00474548">
              <w:rPr>
                <w:lang w:val="en-US"/>
              </w:rPr>
              <w:t>5</w:t>
            </w:r>
          </w:p>
        </w:tc>
        <w:tc>
          <w:tcPr>
            <w:tcW w:w="1190" w:type="pct"/>
          </w:tcPr>
          <w:p w14:paraId="742F7B36" w14:textId="3C624718" w:rsidR="005B605A" w:rsidRPr="00474548" w:rsidRDefault="005B605A" w:rsidP="008E6F8E">
            <w:pPr>
              <w:tabs>
                <w:tab w:val="left" w:pos="5710"/>
              </w:tabs>
              <w:rPr>
                <w:rStyle w:val="nomeproposicao"/>
                <w:b/>
                <w:lang w:val="en-US"/>
              </w:rPr>
            </w:pPr>
            <w:r w:rsidRPr="00474548">
              <w:rPr>
                <w:lang w:val="en-US"/>
              </w:rPr>
              <w:t xml:space="preserve">Res. 459/2003 of </w:t>
            </w:r>
            <w:r w:rsidR="00607804" w:rsidRPr="00474548">
              <w:rPr>
                <w:lang w:val="en-US"/>
              </w:rPr>
              <w:t>09/05/2003</w:t>
            </w:r>
          </w:p>
        </w:tc>
        <w:tc>
          <w:tcPr>
            <w:tcW w:w="2066" w:type="pct"/>
          </w:tcPr>
          <w:p w14:paraId="5C96C64B" w14:textId="214E4A73" w:rsidR="005B605A" w:rsidRPr="00474548" w:rsidRDefault="005B605A" w:rsidP="008E6F8E">
            <w:pPr>
              <w:rPr>
                <w:lang w:val="en-US"/>
              </w:rPr>
            </w:pPr>
            <w:r w:rsidRPr="00474548">
              <w:rPr>
                <w:lang w:val="en-US"/>
              </w:rPr>
              <w:t xml:space="preserve">Use of resources </w:t>
            </w:r>
            <w:r w:rsidR="001634C9" w:rsidRPr="00474548">
              <w:rPr>
                <w:lang w:val="en-US"/>
              </w:rPr>
              <w:t>for</w:t>
            </w:r>
            <w:r w:rsidRPr="00474548">
              <w:rPr>
                <w:lang w:val="en-US"/>
              </w:rPr>
              <w:t xml:space="preserve"> public good and fines applied by </w:t>
            </w:r>
            <w:r w:rsidR="00E602A3" w:rsidRPr="00474548">
              <w:rPr>
                <w:lang w:val="en-US"/>
              </w:rPr>
              <w:t>ANEEL</w:t>
            </w:r>
            <w:r w:rsidRPr="00474548">
              <w:rPr>
                <w:lang w:val="en-US"/>
              </w:rPr>
              <w:t>.</w:t>
            </w:r>
          </w:p>
        </w:tc>
      </w:tr>
      <w:tr w:rsidR="005B605A" w:rsidRPr="00474548" w14:paraId="65CBD4EF" w14:textId="77777777" w:rsidTr="00AB10E8">
        <w:trPr>
          <w:trHeight w:val="858"/>
        </w:trPr>
        <w:tc>
          <w:tcPr>
            <w:tcW w:w="507" w:type="pct"/>
          </w:tcPr>
          <w:p w14:paraId="45C0CC86" w14:textId="77777777" w:rsidR="005B605A" w:rsidRPr="00474548" w:rsidRDefault="005B605A" w:rsidP="008E6F8E">
            <w:pPr>
              <w:tabs>
                <w:tab w:val="left" w:pos="5710"/>
              </w:tabs>
              <w:rPr>
                <w:lang w:val="en-US"/>
              </w:rPr>
            </w:pPr>
            <w:r w:rsidRPr="00474548">
              <w:rPr>
                <w:lang w:val="en-US"/>
              </w:rPr>
              <w:t>22</w:t>
            </w:r>
          </w:p>
        </w:tc>
        <w:tc>
          <w:tcPr>
            <w:tcW w:w="478" w:type="pct"/>
          </w:tcPr>
          <w:p w14:paraId="26453A90" w14:textId="1FDC890A" w:rsidR="005B605A" w:rsidRPr="00474548" w:rsidRDefault="009C7240" w:rsidP="008E6F8E">
            <w:pPr>
              <w:rPr>
                <w:lang w:val="en-US"/>
              </w:rPr>
            </w:pPr>
            <w:r w:rsidRPr="00474548">
              <w:rPr>
                <w:lang w:val="en-US"/>
              </w:rPr>
              <w:t>01/07/2004</w:t>
            </w:r>
          </w:p>
        </w:tc>
        <w:tc>
          <w:tcPr>
            <w:tcW w:w="478" w:type="pct"/>
          </w:tcPr>
          <w:p w14:paraId="7D9FD1AB" w14:textId="005DA501" w:rsidR="005B605A" w:rsidRPr="00474548" w:rsidRDefault="009C7240" w:rsidP="008E6F8E">
            <w:pPr>
              <w:rPr>
                <w:lang w:val="en-US"/>
              </w:rPr>
            </w:pPr>
            <w:r w:rsidRPr="00474548">
              <w:rPr>
                <w:lang w:val="en-US"/>
              </w:rPr>
              <w:t>02/11/2004</w:t>
            </w:r>
          </w:p>
        </w:tc>
        <w:tc>
          <w:tcPr>
            <w:tcW w:w="281" w:type="pct"/>
          </w:tcPr>
          <w:p w14:paraId="773B902B" w14:textId="77777777" w:rsidR="005B605A" w:rsidRPr="00474548" w:rsidRDefault="005B605A" w:rsidP="008E6F8E">
            <w:pPr>
              <w:tabs>
                <w:tab w:val="left" w:pos="5710"/>
              </w:tabs>
              <w:rPr>
                <w:lang w:val="en-US"/>
              </w:rPr>
            </w:pPr>
            <w:r w:rsidRPr="00474548">
              <w:rPr>
                <w:lang w:val="en-US"/>
              </w:rPr>
              <w:t>27</w:t>
            </w:r>
          </w:p>
        </w:tc>
        <w:tc>
          <w:tcPr>
            <w:tcW w:w="1190" w:type="pct"/>
          </w:tcPr>
          <w:p w14:paraId="4316B5FC" w14:textId="6978AE39" w:rsidR="005B605A" w:rsidRPr="00474548" w:rsidRDefault="005B605A" w:rsidP="008E6F8E">
            <w:pPr>
              <w:rPr>
                <w:lang w:val="en-US"/>
              </w:rPr>
            </w:pPr>
            <w:r w:rsidRPr="00474548">
              <w:rPr>
                <w:lang w:val="en-US"/>
              </w:rPr>
              <w:t>Res. Norm. 001/2004</w:t>
            </w:r>
          </w:p>
          <w:p w14:paraId="0BC69472" w14:textId="44EF0A45" w:rsidR="00607804" w:rsidRPr="00474548" w:rsidRDefault="00E602A3" w:rsidP="008E6F8E">
            <w:pPr>
              <w:rPr>
                <w:bdr w:val="none" w:sz="0" w:space="0" w:color="auto" w:frame="1"/>
                <w:lang w:val="en-US"/>
              </w:rPr>
            </w:pPr>
            <w:r w:rsidRPr="00474548">
              <w:rPr>
                <w:bdr w:val="none" w:sz="0" w:space="0" w:color="auto" w:frame="1"/>
                <w:lang w:val="en-US"/>
              </w:rPr>
              <w:t>Signed Day</w:t>
            </w:r>
            <w:r w:rsidR="005B605A" w:rsidRPr="00474548">
              <w:rPr>
                <w:bdr w:val="none" w:sz="0" w:space="0" w:color="auto" w:frame="1"/>
                <w:lang w:val="en-US"/>
              </w:rPr>
              <w:t xml:space="preserve"> </w:t>
            </w:r>
            <w:r w:rsidR="00607804" w:rsidRPr="00474548">
              <w:rPr>
                <w:bdr w:val="none" w:sz="0" w:space="0" w:color="auto" w:frame="1"/>
                <w:lang w:val="en-US"/>
              </w:rPr>
              <w:t>01/12/2004</w:t>
            </w:r>
          </w:p>
          <w:p w14:paraId="595061D5" w14:textId="72E6EA4C" w:rsidR="005B605A" w:rsidRPr="00474548" w:rsidRDefault="00607804" w:rsidP="008E6F8E">
            <w:pPr>
              <w:rPr>
                <w:bCs/>
                <w:bdr w:val="none" w:sz="0" w:space="0" w:color="auto" w:frame="1"/>
                <w:lang w:val="en-US"/>
              </w:rPr>
            </w:pPr>
            <w:r w:rsidRPr="00474548">
              <w:rPr>
                <w:bdr w:val="none" w:sz="0" w:space="0" w:color="auto" w:frame="1"/>
                <w:lang w:val="en-US"/>
              </w:rPr>
              <w:t>P</w:t>
            </w:r>
            <w:r w:rsidR="005B605A" w:rsidRPr="00474548">
              <w:rPr>
                <w:bdr w:val="none" w:sz="0" w:space="0" w:color="auto" w:frame="1"/>
                <w:lang w:val="en-US"/>
              </w:rPr>
              <w:t xml:space="preserve">ub. Day </w:t>
            </w:r>
            <w:r w:rsidRPr="00474548">
              <w:rPr>
                <w:bdr w:val="none" w:sz="0" w:space="0" w:color="auto" w:frame="1"/>
                <w:lang w:val="en-US"/>
              </w:rPr>
              <w:t>01/16/2004</w:t>
            </w:r>
          </w:p>
          <w:p w14:paraId="7BC607AF" w14:textId="77777777" w:rsidR="005B605A" w:rsidRPr="00474548" w:rsidRDefault="005B605A" w:rsidP="008E6F8E">
            <w:pPr>
              <w:rPr>
                <w:lang w:val="en-US"/>
              </w:rPr>
            </w:pPr>
          </w:p>
        </w:tc>
        <w:tc>
          <w:tcPr>
            <w:tcW w:w="2066" w:type="pct"/>
            <w:shd w:val="clear" w:color="auto" w:fill="auto"/>
          </w:tcPr>
          <w:p w14:paraId="7721C692" w14:textId="77777777" w:rsidR="005B605A" w:rsidRPr="00474548" w:rsidRDefault="005B605A" w:rsidP="008E6F8E">
            <w:pPr>
              <w:rPr>
                <w:lang w:val="en-US"/>
              </w:rPr>
            </w:pPr>
            <w:r w:rsidRPr="00474548">
              <w:rPr>
                <w:lang w:val="en-US"/>
              </w:rPr>
              <w:t>Legal changes, maximum terms of the Extraordinary Tariff Reallocation permanence in the electricity supply tariffs.</w:t>
            </w:r>
          </w:p>
        </w:tc>
      </w:tr>
      <w:tr w:rsidR="005B605A" w:rsidRPr="00474548" w14:paraId="38DD5E49" w14:textId="77777777" w:rsidTr="00AB10E8">
        <w:trPr>
          <w:trHeight w:val="671"/>
        </w:trPr>
        <w:tc>
          <w:tcPr>
            <w:tcW w:w="507" w:type="pct"/>
            <w:vMerge w:val="restart"/>
          </w:tcPr>
          <w:p w14:paraId="57B4C571" w14:textId="77777777" w:rsidR="005B605A" w:rsidRPr="00474548" w:rsidRDefault="005B605A" w:rsidP="008E6F8E">
            <w:pPr>
              <w:tabs>
                <w:tab w:val="left" w:pos="5710"/>
              </w:tabs>
              <w:rPr>
                <w:lang w:val="en-US"/>
              </w:rPr>
            </w:pPr>
            <w:r w:rsidRPr="00474548">
              <w:rPr>
                <w:lang w:val="en-US"/>
              </w:rPr>
              <w:t>23</w:t>
            </w:r>
          </w:p>
          <w:p w14:paraId="4D075A1D" w14:textId="77777777" w:rsidR="005B605A" w:rsidRPr="00474548" w:rsidRDefault="005B605A" w:rsidP="008E6F8E">
            <w:pPr>
              <w:tabs>
                <w:tab w:val="left" w:pos="5710"/>
              </w:tabs>
              <w:rPr>
                <w:lang w:val="en-US"/>
              </w:rPr>
            </w:pPr>
          </w:p>
        </w:tc>
        <w:tc>
          <w:tcPr>
            <w:tcW w:w="478" w:type="pct"/>
            <w:vMerge w:val="restart"/>
          </w:tcPr>
          <w:p w14:paraId="0DE6B291" w14:textId="1F1272A7" w:rsidR="005B605A" w:rsidRPr="00474548" w:rsidRDefault="009C7240" w:rsidP="008E6F8E">
            <w:pPr>
              <w:rPr>
                <w:lang w:val="en-US"/>
              </w:rPr>
            </w:pPr>
            <w:r w:rsidRPr="00474548">
              <w:rPr>
                <w:lang w:val="en-US"/>
              </w:rPr>
              <w:t>05/06/2004</w:t>
            </w:r>
          </w:p>
        </w:tc>
        <w:tc>
          <w:tcPr>
            <w:tcW w:w="478" w:type="pct"/>
            <w:vMerge w:val="restart"/>
          </w:tcPr>
          <w:p w14:paraId="1AE1F3F3" w14:textId="24E59BA6" w:rsidR="005B605A" w:rsidRPr="00474548" w:rsidRDefault="009C7240" w:rsidP="008E6F8E">
            <w:pPr>
              <w:rPr>
                <w:lang w:val="en-US"/>
              </w:rPr>
            </w:pPr>
            <w:r w:rsidRPr="00474548">
              <w:rPr>
                <w:lang w:val="en-US"/>
              </w:rPr>
              <w:t>06/04/2004</w:t>
            </w:r>
          </w:p>
        </w:tc>
        <w:tc>
          <w:tcPr>
            <w:tcW w:w="281" w:type="pct"/>
            <w:vMerge w:val="restart"/>
          </w:tcPr>
          <w:p w14:paraId="695865CD" w14:textId="77777777" w:rsidR="005B605A" w:rsidRPr="00474548" w:rsidRDefault="005B605A" w:rsidP="008E6F8E">
            <w:pPr>
              <w:tabs>
                <w:tab w:val="left" w:pos="5710"/>
              </w:tabs>
              <w:rPr>
                <w:lang w:val="en-US"/>
              </w:rPr>
            </w:pPr>
            <w:r w:rsidRPr="00474548">
              <w:rPr>
                <w:lang w:val="en-US"/>
              </w:rPr>
              <w:t>22</w:t>
            </w:r>
          </w:p>
        </w:tc>
        <w:tc>
          <w:tcPr>
            <w:tcW w:w="1190" w:type="pct"/>
          </w:tcPr>
          <w:p w14:paraId="7F464FF9" w14:textId="55C0B512" w:rsidR="005B605A" w:rsidRPr="00474548" w:rsidRDefault="00BB2864" w:rsidP="008E6F8E">
            <w:pPr>
              <w:rPr>
                <w:rFonts w:eastAsia="Times New Roman"/>
                <w:lang w:val="en-US"/>
              </w:rPr>
            </w:pPr>
            <w:hyperlink r:id="rId17" w:tooltip="Open details...">
              <w:r w:rsidR="00B21DDD" w:rsidRPr="00474548">
                <w:rPr>
                  <w:rStyle w:val="Hyperlink"/>
                  <w:bdr w:val="none" w:sz="0" w:space="0" w:color="auto" w:frame="1"/>
                  <w:lang w:val="en-US"/>
                </w:rPr>
                <w:t xml:space="preserve">Res. Norm. </w:t>
              </w:r>
              <w:proofErr w:type="spellStart"/>
              <w:r w:rsidR="00B21DDD" w:rsidRPr="00474548">
                <w:rPr>
                  <w:rStyle w:val="Hyperlink"/>
                  <w:bdr w:val="none" w:sz="0" w:space="0" w:color="auto" w:frame="1"/>
                  <w:lang w:val="en-US"/>
                </w:rPr>
                <w:t>Aneel</w:t>
              </w:r>
              <w:proofErr w:type="spellEnd"/>
              <w:r w:rsidR="00B21DDD" w:rsidRPr="00474548">
                <w:rPr>
                  <w:rStyle w:val="Hyperlink"/>
                  <w:bdr w:val="none" w:sz="0" w:space="0" w:color="auto" w:frame="1"/>
                  <w:lang w:val="en-US"/>
                </w:rPr>
                <w:t xml:space="preserve"> 062/2004</w:t>
              </w:r>
            </w:hyperlink>
            <w:r w:rsidR="00B21DDD" w:rsidRPr="00474548">
              <w:rPr>
                <w:bdr w:val="none" w:sz="0" w:space="0" w:color="auto" w:frame="1"/>
                <w:lang w:val="en-US"/>
              </w:rPr>
              <w:t xml:space="preserve"> </w:t>
            </w:r>
            <w:r w:rsidR="00B21DDD" w:rsidRPr="00474548">
              <w:rPr>
                <w:lang w:val="en-US"/>
              </w:rPr>
              <w:t>of 05/05/2004</w:t>
            </w:r>
          </w:p>
        </w:tc>
        <w:tc>
          <w:tcPr>
            <w:tcW w:w="2066" w:type="pct"/>
          </w:tcPr>
          <w:p w14:paraId="4776EFE1" w14:textId="77777777" w:rsidR="005B605A" w:rsidRPr="00474548" w:rsidRDefault="005B605A" w:rsidP="008E6F8E">
            <w:pPr>
              <w:rPr>
                <w:rFonts w:eastAsia="Times New Roman"/>
                <w:lang w:val="en-US"/>
              </w:rPr>
            </w:pPr>
            <w:r w:rsidRPr="00474548">
              <w:rPr>
                <w:lang w:val="en-US"/>
              </w:rPr>
              <w:t>Procedures for calculating the amount corresponding to the energy for participation of PROINFA.</w:t>
            </w:r>
          </w:p>
        </w:tc>
      </w:tr>
      <w:tr w:rsidR="005B605A" w:rsidRPr="00474548" w14:paraId="32FE5C02" w14:textId="77777777" w:rsidTr="00AB10E8">
        <w:trPr>
          <w:trHeight w:val="428"/>
        </w:trPr>
        <w:tc>
          <w:tcPr>
            <w:tcW w:w="507" w:type="pct"/>
            <w:vMerge/>
          </w:tcPr>
          <w:p w14:paraId="1F76DE4E" w14:textId="77777777" w:rsidR="005B605A" w:rsidRPr="00474548" w:rsidRDefault="005B605A" w:rsidP="008E6F8E">
            <w:pPr>
              <w:tabs>
                <w:tab w:val="left" w:pos="5710"/>
              </w:tabs>
              <w:rPr>
                <w:lang w:val="en-US"/>
              </w:rPr>
            </w:pPr>
          </w:p>
        </w:tc>
        <w:tc>
          <w:tcPr>
            <w:tcW w:w="478" w:type="pct"/>
            <w:vMerge/>
          </w:tcPr>
          <w:p w14:paraId="2E3B0A43" w14:textId="77777777" w:rsidR="005B605A" w:rsidRPr="00474548" w:rsidRDefault="005B605A" w:rsidP="008E6F8E">
            <w:pPr>
              <w:rPr>
                <w:lang w:val="en-US"/>
              </w:rPr>
            </w:pPr>
          </w:p>
        </w:tc>
        <w:tc>
          <w:tcPr>
            <w:tcW w:w="478" w:type="pct"/>
            <w:vMerge/>
          </w:tcPr>
          <w:p w14:paraId="2A058176" w14:textId="77777777" w:rsidR="005B605A" w:rsidRPr="00474548" w:rsidRDefault="005B605A" w:rsidP="008E6F8E">
            <w:pPr>
              <w:rPr>
                <w:lang w:val="en-US"/>
              </w:rPr>
            </w:pPr>
          </w:p>
        </w:tc>
        <w:tc>
          <w:tcPr>
            <w:tcW w:w="281" w:type="pct"/>
            <w:vMerge/>
          </w:tcPr>
          <w:p w14:paraId="30444C88" w14:textId="77777777" w:rsidR="005B605A" w:rsidRPr="00474548" w:rsidRDefault="005B605A" w:rsidP="008E6F8E">
            <w:pPr>
              <w:tabs>
                <w:tab w:val="left" w:pos="5710"/>
              </w:tabs>
              <w:rPr>
                <w:lang w:val="en-US"/>
              </w:rPr>
            </w:pPr>
          </w:p>
        </w:tc>
        <w:tc>
          <w:tcPr>
            <w:tcW w:w="1190" w:type="pct"/>
          </w:tcPr>
          <w:p w14:paraId="4738CDE1" w14:textId="7A546874" w:rsidR="005B605A" w:rsidRPr="00474548" w:rsidRDefault="005B605A" w:rsidP="008E6F8E">
            <w:pPr>
              <w:rPr>
                <w:lang w:val="en-US"/>
              </w:rPr>
            </w:pPr>
            <w:r w:rsidRPr="00474548">
              <w:rPr>
                <w:lang w:val="en-US"/>
              </w:rPr>
              <w:t xml:space="preserve">Ordinance 5081/2004 </w:t>
            </w:r>
            <w:proofErr w:type="gramStart"/>
            <w:r w:rsidRPr="00474548">
              <w:rPr>
                <w:lang w:val="en-US"/>
              </w:rPr>
              <w:t>pub</w:t>
            </w:r>
            <w:proofErr w:type="gramEnd"/>
            <w:r w:rsidRPr="00474548">
              <w:rPr>
                <w:lang w:val="en-US"/>
              </w:rPr>
              <w:t xml:space="preserve">. Day: </w:t>
            </w:r>
            <w:r w:rsidR="00607804" w:rsidRPr="00474548">
              <w:rPr>
                <w:lang w:val="en-US"/>
              </w:rPr>
              <w:t>05/14/2004</w:t>
            </w:r>
          </w:p>
        </w:tc>
        <w:tc>
          <w:tcPr>
            <w:tcW w:w="2066" w:type="pct"/>
          </w:tcPr>
          <w:p w14:paraId="693F0DB9" w14:textId="77777777" w:rsidR="005B605A" w:rsidRPr="00474548" w:rsidRDefault="005B605A" w:rsidP="008E6F8E">
            <w:pPr>
              <w:jc w:val="both"/>
              <w:rPr>
                <w:lang w:val="en-US"/>
              </w:rPr>
            </w:pPr>
            <w:r w:rsidRPr="00474548">
              <w:rPr>
                <w:lang w:val="en-US"/>
              </w:rPr>
              <w:t>Deals with National Operator of the Electric System – NOS</w:t>
            </w:r>
          </w:p>
        </w:tc>
      </w:tr>
      <w:tr w:rsidR="005B605A" w:rsidRPr="00474548" w14:paraId="60D5B7CC" w14:textId="77777777" w:rsidTr="00AB10E8">
        <w:trPr>
          <w:trHeight w:val="639"/>
        </w:trPr>
        <w:tc>
          <w:tcPr>
            <w:tcW w:w="507" w:type="pct"/>
          </w:tcPr>
          <w:p w14:paraId="631C7E7C" w14:textId="77777777" w:rsidR="005B605A" w:rsidRPr="00474548" w:rsidRDefault="005B605A" w:rsidP="008E6F8E">
            <w:pPr>
              <w:tabs>
                <w:tab w:val="left" w:pos="5710"/>
              </w:tabs>
              <w:rPr>
                <w:lang w:val="en-US"/>
              </w:rPr>
            </w:pPr>
            <w:r w:rsidRPr="00474548">
              <w:rPr>
                <w:lang w:val="en-US"/>
              </w:rPr>
              <w:t>25</w:t>
            </w:r>
          </w:p>
        </w:tc>
        <w:tc>
          <w:tcPr>
            <w:tcW w:w="478" w:type="pct"/>
          </w:tcPr>
          <w:p w14:paraId="7CF0D305" w14:textId="2D3ED9FC" w:rsidR="005B605A" w:rsidRPr="00474548" w:rsidRDefault="009C7240" w:rsidP="008E6F8E">
            <w:pPr>
              <w:rPr>
                <w:lang w:val="en-US"/>
              </w:rPr>
            </w:pPr>
            <w:r w:rsidRPr="00474548">
              <w:rPr>
                <w:lang w:val="en-US"/>
              </w:rPr>
              <w:t>02/08/2006</w:t>
            </w:r>
          </w:p>
        </w:tc>
        <w:tc>
          <w:tcPr>
            <w:tcW w:w="478" w:type="pct"/>
          </w:tcPr>
          <w:p w14:paraId="4BDED72F" w14:textId="381F3980" w:rsidR="005B605A" w:rsidRPr="00474548" w:rsidRDefault="009C7240" w:rsidP="008E6F8E">
            <w:pPr>
              <w:rPr>
                <w:lang w:val="en-US"/>
              </w:rPr>
            </w:pPr>
            <w:r w:rsidRPr="00474548">
              <w:rPr>
                <w:lang w:val="en-US"/>
              </w:rPr>
              <w:t>02/22/2006</w:t>
            </w:r>
          </w:p>
        </w:tc>
        <w:tc>
          <w:tcPr>
            <w:tcW w:w="281" w:type="pct"/>
          </w:tcPr>
          <w:p w14:paraId="3EF21651" w14:textId="77777777" w:rsidR="005B605A" w:rsidRPr="00474548" w:rsidRDefault="005B605A" w:rsidP="008E6F8E">
            <w:pPr>
              <w:tabs>
                <w:tab w:val="left" w:pos="5710"/>
              </w:tabs>
              <w:rPr>
                <w:lang w:val="en-US"/>
              </w:rPr>
            </w:pPr>
            <w:r w:rsidRPr="00474548">
              <w:rPr>
                <w:lang w:val="en-US"/>
              </w:rPr>
              <w:t>11</w:t>
            </w:r>
          </w:p>
        </w:tc>
        <w:tc>
          <w:tcPr>
            <w:tcW w:w="1190" w:type="pct"/>
          </w:tcPr>
          <w:p w14:paraId="684EFF02" w14:textId="6D71BFD3" w:rsidR="005B605A" w:rsidRPr="00474548" w:rsidRDefault="005B605A" w:rsidP="008E6F8E">
            <w:pPr>
              <w:rPr>
                <w:lang w:val="en-US"/>
              </w:rPr>
            </w:pPr>
            <w:r w:rsidRPr="00474548">
              <w:rPr>
                <w:lang w:val="en-US"/>
              </w:rPr>
              <w:t xml:space="preserve">Res. Norm. 210/2006, pub. </w:t>
            </w:r>
            <w:r w:rsidR="00607804" w:rsidRPr="00474548">
              <w:rPr>
                <w:lang w:val="en-US"/>
              </w:rPr>
              <w:t>02/13/2006</w:t>
            </w:r>
          </w:p>
        </w:tc>
        <w:tc>
          <w:tcPr>
            <w:tcW w:w="2066" w:type="pct"/>
          </w:tcPr>
          <w:p w14:paraId="3999EAE9" w14:textId="03AD3A5C" w:rsidR="005B605A" w:rsidRPr="00474548" w:rsidRDefault="005B605A" w:rsidP="008E6F8E">
            <w:pPr>
              <w:jc w:val="both"/>
              <w:rPr>
                <w:rFonts w:eastAsia="Times New Roman"/>
                <w:lang w:val="en-US"/>
              </w:rPr>
            </w:pPr>
            <w:r w:rsidRPr="00474548">
              <w:rPr>
                <w:lang w:val="en-US"/>
              </w:rPr>
              <w:t>Approves the electricity trading rules Version January/2006 instituted by Normative Resolution 109/2004.</w:t>
            </w:r>
          </w:p>
        </w:tc>
      </w:tr>
      <w:tr w:rsidR="005B605A" w:rsidRPr="00474548" w14:paraId="43078E52" w14:textId="77777777" w:rsidTr="00AB10E8">
        <w:trPr>
          <w:trHeight w:val="421"/>
        </w:trPr>
        <w:tc>
          <w:tcPr>
            <w:tcW w:w="507" w:type="pct"/>
            <w:vMerge w:val="restart"/>
          </w:tcPr>
          <w:p w14:paraId="01F8EE12" w14:textId="77777777" w:rsidR="005B605A" w:rsidRPr="00474548" w:rsidRDefault="005B605A" w:rsidP="008E6F8E">
            <w:pPr>
              <w:tabs>
                <w:tab w:val="left" w:pos="5710"/>
              </w:tabs>
              <w:rPr>
                <w:lang w:val="en-US"/>
              </w:rPr>
            </w:pPr>
            <w:r w:rsidRPr="00474548">
              <w:rPr>
                <w:lang w:val="en-US"/>
              </w:rPr>
              <w:t>28</w:t>
            </w:r>
          </w:p>
        </w:tc>
        <w:tc>
          <w:tcPr>
            <w:tcW w:w="478" w:type="pct"/>
            <w:vMerge w:val="restart"/>
          </w:tcPr>
          <w:p w14:paraId="1F319449" w14:textId="5FB489A9" w:rsidR="005B605A" w:rsidRPr="00474548" w:rsidRDefault="009C7240" w:rsidP="008E6F8E">
            <w:pPr>
              <w:rPr>
                <w:lang w:val="en-US"/>
              </w:rPr>
            </w:pPr>
            <w:r w:rsidRPr="00474548">
              <w:rPr>
                <w:lang w:val="en-US"/>
              </w:rPr>
              <w:t>06/25/2012</w:t>
            </w:r>
          </w:p>
        </w:tc>
        <w:tc>
          <w:tcPr>
            <w:tcW w:w="478" w:type="pct"/>
            <w:vMerge w:val="restart"/>
          </w:tcPr>
          <w:p w14:paraId="7A77046F" w14:textId="6D1FF75B" w:rsidR="005B605A" w:rsidRPr="00474548" w:rsidRDefault="009C7240" w:rsidP="008E6F8E">
            <w:pPr>
              <w:rPr>
                <w:lang w:val="en-US"/>
              </w:rPr>
            </w:pPr>
            <w:r w:rsidRPr="00474548">
              <w:rPr>
                <w:lang w:val="en-US"/>
              </w:rPr>
              <w:t>07/03/2012</w:t>
            </w:r>
          </w:p>
        </w:tc>
        <w:tc>
          <w:tcPr>
            <w:tcW w:w="281" w:type="pct"/>
            <w:vMerge w:val="restart"/>
          </w:tcPr>
          <w:p w14:paraId="42F20884" w14:textId="77777777" w:rsidR="005B605A" w:rsidRPr="00474548" w:rsidRDefault="005B605A" w:rsidP="008E6F8E">
            <w:pPr>
              <w:tabs>
                <w:tab w:val="left" w:pos="5710"/>
              </w:tabs>
              <w:rPr>
                <w:lang w:val="en-US"/>
              </w:rPr>
            </w:pPr>
            <w:r w:rsidRPr="00474548">
              <w:rPr>
                <w:lang w:val="en-US"/>
              </w:rPr>
              <w:t>7</w:t>
            </w:r>
          </w:p>
        </w:tc>
        <w:tc>
          <w:tcPr>
            <w:tcW w:w="1190" w:type="pct"/>
          </w:tcPr>
          <w:p w14:paraId="5A3D82E6" w14:textId="7550F2AA" w:rsidR="005B605A" w:rsidRPr="00474548" w:rsidRDefault="00BB2864" w:rsidP="008E6F8E">
            <w:pPr>
              <w:jc w:val="both"/>
              <w:rPr>
                <w:lang w:val="en-US"/>
              </w:rPr>
            </w:pPr>
            <w:hyperlink r:id="rId18" w:tooltip="Open details...">
              <w:r w:rsidR="00B21DDD" w:rsidRPr="00474548">
                <w:rPr>
                  <w:rStyle w:val="Hyperlink"/>
                  <w:bdr w:val="none" w:sz="0" w:space="0" w:color="auto" w:frame="1"/>
                  <w:lang w:val="en-US"/>
                </w:rPr>
                <w:t xml:space="preserve">Res. Norm. </w:t>
              </w:r>
              <w:proofErr w:type="spellStart"/>
              <w:r w:rsidR="00B21DDD" w:rsidRPr="00474548">
                <w:rPr>
                  <w:rStyle w:val="Hyperlink"/>
                  <w:bdr w:val="none" w:sz="0" w:space="0" w:color="auto" w:frame="1"/>
                  <w:lang w:val="en-US"/>
                </w:rPr>
                <w:t>Aneel</w:t>
              </w:r>
              <w:proofErr w:type="spellEnd"/>
              <w:r w:rsidR="00B21DDD" w:rsidRPr="00474548">
                <w:rPr>
                  <w:rStyle w:val="Hyperlink"/>
                  <w:bdr w:val="none" w:sz="0" w:space="0" w:color="auto" w:frame="1"/>
                  <w:lang w:val="en-US"/>
                </w:rPr>
                <w:t xml:space="preserve"> 491/2012</w:t>
              </w:r>
            </w:hyperlink>
            <w:r w:rsidR="00B21DDD" w:rsidRPr="00474548">
              <w:rPr>
                <w:rStyle w:val="Hyperlink"/>
                <w:bdr w:val="none" w:sz="0" w:space="0" w:color="auto" w:frame="1"/>
                <w:lang w:val="en-US"/>
              </w:rPr>
              <w:t xml:space="preserve"> </w:t>
            </w:r>
            <w:r w:rsidR="00B21DDD" w:rsidRPr="00474548">
              <w:rPr>
                <w:bdr w:val="none" w:sz="0" w:space="0" w:color="auto" w:frame="1"/>
                <w:lang w:val="en-US"/>
              </w:rPr>
              <w:t xml:space="preserve">pub. </w:t>
            </w:r>
            <w:r w:rsidR="00607804" w:rsidRPr="00474548">
              <w:rPr>
                <w:bdr w:val="none" w:sz="0" w:space="0" w:color="auto" w:frame="1"/>
                <w:lang w:val="en-US"/>
              </w:rPr>
              <w:t>06/25/2012</w:t>
            </w:r>
          </w:p>
        </w:tc>
        <w:tc>
          <w:tcPr>
            <w:tcW w:w="2066" w:type="pct"/>
          </w:tcPr>
          <w:p w14:paraId="04D38E52" w14:textId="77777777" w:rsidR="005B605A" w:rsidRPr="00474548" w:rsidRDefault="005B605A" w:rsidP="008E6F8E">
            <w:pPr>
              <w:jc w:val="both"/>
              <w:rPr>
                <w:lang w:val="en-US"/>
              </w:rPr>
            </w:pPr>
            <w:r w:rsidRPr="00474548">
              <w:rPr>
                <w:shd w:val="clear" w:color="auto" w:fill="FFFFFF"/>
                <w:lang w:val="en-US"/>
              </w:rPr>
              <w:t xml:space="preserve">Tariff Regulation Procedures – PRORET. </w:t>
            </w:r>
          </w:p>
        </w:tc>
      </w:tr>
      <w:tr w:rsidR="005B605A" w:rsidRPr="00474548" w14:paraId="5BF6A90F" w14:textId="77777777" w:rsidTr="00AB10E8">
        <w:trPr>
          <w:trHeight w:val="501"/>
        </w:trPr>
        <w:tc>
          <w:tcPr>
            <w:tcW w:w="507" w:type="pct"/>
            <w:vMerge/>
          </w:tcPr>
          <w:p w14:paraId="13EBB1EA" w14:textId="77777777" w:rsidR="005B605A" w:rsidRPr="00474548" w:rsidRDefault="005B605A" w:rsidP="008E6F8E">
            <w:pPr>
              <w:tabs>
                <w:tab w:val="left" w:pos="5710"/>
              </w:tabs>
              <w:rPr>
                <w:lang w:val="en-US"/>
              </w:rPr>
            </w:pPr>
          </w:p>
        </w:tc>
        <w:tc>
          <w:tcPr>
            <w:tcW w:w="478" w:type="pct"/>
            <w:vMerge/>
          </w:tcPr>
          <w:p w14:paraId="5415147B" w14:textId="77777777" w:rsidR="005B605A" w:rsidRPr="00474548" w:rsidRDefault="005B605A" w:rsidP="008E6F8E">
            <w:pPr>
              <w:rPr>
                <w:lang w:val="en-US"/>
              </w:rPr>
            </w:pPr>
          </w:p>
        </w:tc>
        <w:tc>
          <w:tcPr>
            <w:tcW w:w="478" w:type="pct"/>
            <w:vMerge/>
          </w:tcPr>
          <w:p w14:paraId="47BF8E8C" w14:textId="77777777" w:rsidR="005B605A" w:rsidRPr="00474548" w:rsidRDefault="005B605A" w:rsidP="008E6F8E">
            <w:pPr>
              <w:rPr>
                <w:lang w:val="en-US"/>
              </w:rPr>
            </w:pPr>
          </w:p>
        </w:tc>
        <w:tc>
          <w:tcPr>
            <w:tcW w:w="281" w:type="pct"/>
            <w:vMerge/>
          </w:tcPr>
          <w:p w14:paraId="1ACC5EDD" w14:textId="77777777" w:rsidR="005B605A" w:rsidRPr="00474548" w:rsidRDefault="005B605A" w:rsidP="008E6F8E">
            <w:pPr>
              <w:tabs>
                <w:tab w:val="left" w:pos="5710"/>
              </w:tabs>
              <w:rPr>
                <w:lang w:val="en-US"/>
              </w:rPr>
            </w:pPr>
          </w:p>
        </w:tc>
        <w:tc>
          <w:tcPr>
            <w:tcW w:w="1190" w:type="pct"/>
          </w:tcPr>
          <w:p w14:paraId="2D5FFB22" w14:textId="1A73B076" w:rsidR="005B605A" w:rsidRPr="00474548" w:rsidRDefault="005B605A" w:rsidP="008E6F8E">
            <w:pPr>
              <w:rPr>
                <w:lang w:val="en-US"/>
              </w:rPr>
            </w:pPr>
            <w:r w:rsidRPr="00474548">
              <w:rPr>
                <w:lang w:val="en-US"/>
              </w:rPr>
              <w:t xml:space="preserve">Res. </w:t>
            </w:r>
            <w:proofErr w:type="spellStart"/>
            <w:r w:rsidRPr="00474548">
              <w:rPr>
                <w:lang w:val="en-US"/>
              </w:rPr>
              <w:t>Hom</w:t>
            </w:r>
            <w:proofErr w:type="spellEnd"/>
            <w:r w:rsidRPr="00474548">
              <w:rPr>
                <w:lang w:val="en-US"/>
              </w:rPr>
              <w:t>. N. 1</w:t>
            </w:r>
            <w:r w:rsidR="00C42C23" w:rsidRPr="00474548">
              <w:rPr>
                <w:lang w:val="en-US"/>
              </w:rPr>
              <w:t>,</w:t>
            </w:r>
            <w:r w:rsidRPr="00474548">
              <w:rPr>
                <w:lang w:val="en-US"/>
              </w:rPr>
              <w:t xml:space="preserve">316/ 2012 pub. </w:t>
            </w:r>
            <w:r w:rsidR="00607804" w:rsidRPr="00474548">
              <w:rPr>
                <w:lang w:val="en-US"/>
              </w:rPr>
              <w:t>06/26/2012</w:t>
            </w:r>
          </w:p>
        </w:tc>
        <w:tc>
          <w:tcPr>
            <w:tcW w:w="2066" w:type="pct"/>
          </w:tcPr>
          <w:p w14:paraId="56321FB1" w14:textId="77777777" w:rsidR="005B605A" w:rsidRPr="00474548" w:rsidRDefault="005B605A" w:rsidP="008E6F8E">
            <w:pPr>
              <w:jc w:val="both"/>
              <w:rPr>
                <w:shd w:val="clear" w:color="auto" w:fill="FFFFFF"/>
                <w:lang w:val="en-US"/>
              </w:rPr>
            </w:pPr>
            <w:r w:rsidRPr="00474548">
              <w:rPr>
                <w:lang w:val="en-US"/>
              </w:rPr>
              <w:t>Value of electricity Transmission System Usage Rates - TUST.</w:t>
            </w:r>
          </w:p>
        </w:tc>
      </w:tr>
    </w:tbl>
    <w:p w14:paraId="4A8A8533" w14:textId="77777777" w:rsidR="009F49FD" w:rsidRPr="00474548" w:rsidRDefault="009F49FD" w:rsidP="008E6F8E">
      <w:pPr>
        <w:tabs>
          <w:tab w:val="left" w:pos="5710"/>
        </w:tabs>
        <w:ind w:firstLine="709"/>
        <w:jc w:val="both"/>
        <w:rPr>
          <w:sz w:val="22"/>
          <w:szCs w:val="22"/>
          <w:lang w:val="en-US"/>
        </w:rPr>
      </w:pPr>
    </w:p>
    <w:p w14:paraId="5275713D" w14:textId="732FAE79" w:rsidR="005B605A" w:rsidRPr="00474548" w:rsidRDefault="00DC30A8" w:rsidP="008E78EC">
      <w:pPr>
        <w:tabs>
          <w:tab w:val="left" w:pos="5710"/>
        </w:tabs>
        <w:ind w:firstLine="709"/>
        <w:jc w:val="both"/>
        <w:rPr>
          <w:b/>
          <w:sz w:val="22"/>
          <w:szCs w:val="22"/>
          <w:lang w:val="en-US"/>
        </w:rPr>
      </w:pPr>
      <w:r w:rsidRPr="00474548">
        <w:rPr>
          <w:sz w:val="22"/>
          <w:szCs w:val="22"/>
          <w:lang w:val="en-US"/>
        </w:rPr>
        <w:t xml:space="preserve">In order to estimate the regulatory power of </w:t>
      </w:r>
      <w:r w:rsidR="00C25AE2" w:rsidRPr="00474548">
        <w:rPr>
          <w:sz w:val="22"/>
          <w:szCs w:val="22"/>
          <w:lang w:val="en-US"/>
        </w:rPr>
        <w:t>the</w:t>
      </w:r>
      <w:r w:rsidRPr="00474548">
        <w:rPr>
          <w:sz w:val="22"/>
          <w:szCs w:val="22"/>
          <w:lang w:val="en-US"/>
        </w:rPr>
        <w:t xml:space="preserve"> </w:t>
      </w:r>
      <w:r w:rsidR="00C25AE2" w:rsidRPr="00474548">
        <w:rPr>
          <w:sz w:val="22"/>
          <w:szCs w:val="22"/>
          <w:lang w:val="en-US"/>
        </w:rPr>
        <w:t xml:space="preserve">set of </w:t>
      </w:r>
      <w:r w:rsidRPr="00474548">
        <w:rPr>
          <w:sz w:val="22"/>
          <w:szCs w:val="22"/>
          <w:lang w:val="en-US"/>
        </w:rPr>
        <w:t xml:space="preserve">parts that make up the </w:t>
      </w:r>
      <w:r w:rsidR="00C25AE2" w:rsidRPr="00474548">
        <w:rPr>
          <w:sz w:val="22"/>
          <w:szCs w:val="22"/>
          <w:lang w:val="en-US"/>
        </w:rPr>
        <w:t>o</w:t>
      </w:r>
      <w:r w:rsidRPr="00474548">
        <w:rPr>
          <w:sz w:val="22"/>
          <w:szCs w:val="22"/>
          <w:lang w:val="en-US"/>
        </w:rPr>
        <w:t xml:space="preserve">ther </w:t>
      </w:r>
      <w:r w:rsidR="00C25AE2" w:rsidRPr="00474548">
        <w:rPr>
          <w:sz w:val="22"/>
          <w:szCs w:val="22"/>
          <w:lang w:val="en-US"/>
        </w:rPr>
        <w:t>r</w:t>
      </w:r>
      <w:r w:rsidRPr="00474548">
        <w:rPr>
          <w:sz w:val="22"/>
          <w:szCs w:val="22"/>
          <w:lang w:val="en-US"/>
        </w:rPr>
        <w:t xml:space="preserve">egulatory </w:t>
      </w:r>
      <w:r w:rsidR="00C25AE2" w:rsidRPr="00474548">
        <w:rPr>
          <w:sz w:val="22"/>
          <w:szCs w:val="22"/>
          <w:lang w:val="en-US"/>
        </w:rPr>
        <w:t>l</w:t>
      </w:r>
      <w:r w:rsidRPr="00474548">
        <w:rPr>
          <w:sz w:val="22"/>
          <w:szCs w:val="22"/>
          <w:lang w:val="en-US"/>
        </w:rPr>
        <w:t xml:space="preserve">aws with relevant contents, the sum of the present descriptors </w:t>
      </w:r>
      <w:r w:rsidR="00276EEE" w:rsidRPr="00474548">
        <w:rPr>
          <w:sz w:val="22"/>
          <w:szCs w:val="22"/>
          <w:lang w:val="en-US"/>
        </w:rPr>
        <w:t xml:space="preserve">was weighted </w:t>
      </w:r>
      <w:r w:rsidRPr="00474548">
        <w:rPr>
          <w:sz w:val="22"/>
          <w:szCs w:val="22"/>
          <w:lang w:val="en-US"/>
        </w:rPr>
        <w:t xml:space="preserve">in each set of parts for </w:t>
      </w:r>
      <w:r w:rsidRPr="00474548">
        <w:rPr>
          <w:sz w:val="22"/>
          <w:szCs w:val="22"/>
          <w:lang w:val="en-US"/>
        </w:rPr>
        <w:lastRenderedPageBreak/>
        <w:t xml:space="preserve">the </w:t>
      </w:r>
      <w:r w:rsidR="00C25AE2" w:rsidRPr="00474548">
        <w:rPr>
          <w:sz w:val="22"/>
          <w:szCs w:val="22"/>
          <w:lang w:val="en-US"/>
        </w:rPr>
        <w:t xml:space="preserve">entire </w:t>
      </w:r>
      <w:r w:rsidR="00765120" w:rsidRPr="00474548">
        <w:rPr>
          <w:sz w:val="22"/>
          <w:szCs w:val="22"/>
          <w:lang w:val="en-US"/>
        </w:rPr>
        <w:t>RC</w:t>
      </w:r>
      <w:r w:rsidR="009F2C79" w:rsidRPr="00474548">
        <w:rPr>
          <w:sz w:val="22"/>
          <w:szCs w:val="22"/>
          <w:lang w:val="en-US"/>
        </w:rPr>
        <w:t xml:space="preserve"> </w:t>
      </w:r>
      <w:r w:rsidRPr="00474548">
        <w:rPr>
          <w:sz w:val="22"/>
          <w:szCs w:val="22"/>
          <w:lang w:val="en-US"/>
        </w:rPr>
        <w:t>of the laws under review. The results are shown in Graphic 2. The results of Graphic 2 also show that the set of parts formed by Resolution 152/2003 and Decree 4667/2003 is the one with the most prominent regulatory strength</w:t>
      </w:r>
      <w:r w:rsidR="001C7A79" w:rsidRPr="00474548">
        <w:rPr>
          <w:sz w:val="22"/>
          <w:szCs w:val="22"/>
          <w:lang w:val="en-US"/>
        </w:rPr>
        <w:t>s</w:t>
      </w:r>
      <w:r w:rsidRPr="00474548">
        <w:rPr>
          <w:sz w:val="22"/>
          <w:szCs w:val="22"/>
          <w:lang w:val="en-US"/>
        </w:rPr>
        <w:t xml:space="preserve"> </w:t>
      </w:r>
      <w:r w:rsidR="00C25AE2" w:rsidRPr="00474548">
        <w:rPr>
          <w:sz w:val="22"/>
          <w:szCs w:val="22"/>
          <w:lang w:val="en-US"/>
        </w:rPr>
        <w:t xml:space="preserve">among the </w:t>
      </w:r>
      <w:r w:rsidRPr="00474548">
        <w:rPr>
          <w:sz w:val="22"/>
          <w:szCs w:val="22"/>
          <w:lang w:val="en-US"/>
        </w:rPr>
        <w:t>sets of laws under review.</w:t>
      </w:r>
    </w:p>
    <w:p w14:paraId="7E861317" w14:textId="7BDF1D11" w:rsidR="005B605A" w:rsidRPr="00474548" w:rsidRDefault="005B605A" w:rsidP="008E78EC">
      <w:pPr>
        <w:tabs>
          <w:tab w:val="left" w:pos="1980"/>
        </w:tabs>
        <w:jc w:val="center"/>
        <w:rPr>
          <w:b/>
          <w:sz w:val="22"/>
          <w:szCs w:val="22"/>
          <w:lang w:val="en-US"/>
        </w:rPr>
      </w:pPr>
    </w:p>
    <w:p w14:paraId="789742B4" w14:textId="594A4BCF" w:rsidR="005B605A" w:rsidRPr="00474548" w:rsidRDefault="00036FB8" w:rsidP="008E78EC">
      <w:pPr>
        <w:tabs>
          <w:tab w:val="left" w:pos="1980"/>
        </w:tabs>
        <w:jc w:val="center"/>
        <w:rPr>
          <w:b/>
          <w:sz w:val="22"/>
          <w:szCs w:val="22"/>
          <w:lang w:val="en-US"/>
        </w:rPr>
      </w:pPr>
      <w:r w:rsidRPr="00474548">
        <w:rPr>
          <w:noProof/>
          <w:lang w:val="en-US" w:eastAsia="en-US" w:bidi="ar-SA"/>
        </w:rPr>
        <w:drawing>
          <wp:inline distT="0" distB="0" distL="0" distR="0" wp14:anchorId="124B315F" wp14:editId="0C88EC54">
            <wp:extent cx="4800600" cy="42291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6855B4" w14:textId="396B0B1D" w:rsidR="00195364" w:rsidRPr="00474548" w:rsidRDefault="005B605A" w:rsidP="008E78EC">
      <w:pPr>
        <w:pStyle w:val="Caption"/>
        <w:rPr>
          <w:b w:val="0"/>
          <w:color w:val="auto"/>
          <w:sz w:val="22"/>
          <w:szCs w:val="22"/>
          <w:lang w:val="en-US"/>
        </w:rPr>
      </w:pPr>
      <w:r w:rsidRPr="00474548">
        <w:rPr>
          <w:b w:val="0"/>
          <w:color w:val="auto"/>
          <w:sz w:val="22"/>
          <w:szCs w:val="22"/>
          <w:lang w:val="en-US"/>
        </w:rPr>
        <w:t xml:space="preserve">Graphic 2 – </w:t>
      </w:r>
      <w:r w:rsidR="009F2C79" w:rsidRPr="00474548">
        <w:rPr>
          <w:b w:val="0"/>
          <w:color w:val="auto"/>
          <w:sz w:val="22"/>
          <w:szCs w:val="22"/>
          <w:lang w:val="en-US"/>
        </w:rPr>
        <w:t xml:space="preserve">Content </w:t>
      </w:r>
      <w:r w:rsidRPr="00474548">
        <w:rPr>
          <w:b w:val="0"/>
          <w:color w:val="auto"/>
          <w:sz w:val="22"/>
          <w:szCs w:val="22"/>
          <w:lang w:val="en-US"/>
        </w:rPr>
        <w:t xml:space="preserve">intensity of other relevant </w:t>
      </w:r>
      <w:r w:rsidR="00192075" w:rsidRPr="00474548">
        <w:rPr>
          <w:b w:val="0"/>
          <w:color w:val="auto"/>
          <w:sz w:val="22"/>
          <w:szCs w:val="22"/>
          <w:lang w:val="en-US"/>
        </w:rPr>
        <w:t>RC</w:t>
      </w:r>
      <w:r w:rsidR="009F2C79" w:rsidRPr="00474548">
        <w:rPr>
          <w:b w:val="0"/>
          <w:color w:val="auto"/>
          <w:sz w:val="22"/>
          <w:szCs w:val="22"/>
          <w:lang w:val="en-US"/>
        </w:rPr>
        <w:t xml:space="preserve"> </w:t>
      </w:r>
      <w:r w:rsidRPr="00474548">
        <w:rPr>
          <w:b w:val="0"/>
          <w:color w:val="auto"/>
          <w:sz w:val="22"/>
          <w:szCs w:val="22"/>
          <w:lang w:val="en-US"/>
        </w:rPr>
        <w:t xml:space="preserve">laws </w:t>
      </w:r>
    </w:p>
    <w:p w14:paraId="242EEA9C" w14:textId="42937885" w:rsidR="005B605A" w:rsidRPr="00474548" w:rsidRDefault="005B605A" w:rsidP="008E6F8E">
      <w:pPr>
        <w:tabs>
          <w:tab w:val="left" w:pos="5710"/>
        </w:tabs>
        <w:jc w:val="both"/>
        <w:rPr>
          <w:b/>
          <w:sz w:val="22"/>
          <w:szCs w:val="22"/>
          <w:lang w:val="en-US"/>
        </w:rPr>
      </w:pPr>
      <w:r w:rsidRPr="00474548">
        <w:rPr>
          <w:b/>
          <w:sz w:val="22"/>
          <w:szCs w:val="22"/>
          <w:lang w:val="en-US"/>
        </w:rPr>
        <w:t xml:space="preserve">4.3 </w:t>
      </w:r>
      <w:r w:rsidR="00224B54" w:rsidRPr="00474548">
        <w:rPr>
          <w:b/>
          <w:sz w:val="22"/>
          <w:szCs w:val="22"/>
          <w:lang w:val="en-US"/>
        </w:rPr>
        <w:t xml:space="preserve">RC Intensity </w:t>
      </w:r>
      <w:r w:rsidRPr="00474548">
        <w:rPr>
          <w:b/>
          <w:sz w:val="22"/>
          <w:szCs w:val="22"/>
          <w:lang w:val="en-US"/>
        </w:rPr>
        <w:t>Other Regulatory Events</w:t>
      </w:r>
    </w:p>
    <w:p w14:paraId="78F90535" w14:textId="240E3754" w:rsidR="005B605A" w:rsidRPr="00474548" w:rsidRDefault="005B605A" w:rsidP="008E6F8E">
      <w:pPr>
        <w:tabs>
          <w:tab w:val="left" w:pos="5710"/>
        </w:tabs>
        <w:ind w:firstLine="709"/>
        <w:jc w:val="both"/>
        <w:rPr>
          <w:b/>
          <w:sz w:val="22"/>
          <w:szCs w:val="22"/>
          <w:lang w:val="en-US"/>
        </w:rPr>
      </w:pPr>
      <w:r w:rsidRPr="00474548">
        <w:rPr>
          <w:sz w:val="22"/>
          <w:szCs w:val="22"/>
          <w:lang w:val="en-US"/>
        </w:rPr>
        <w:t xml:space="preserve">The third group comprises thirteen structural </w:t>
      </w:r>
      <w:r w:rsidR="00276EEE" w:rsidRPr="00474548">
        <w:rPr>
          <w:sz w:val="22"/>
          <w:szCs w:val="22"/>
          <w:lang w:val="en-US"/>
        </w:rPr>
        <w:t xml:space="preserve">divisions </w:t>
      </w:r>
      <w:r w:rsidRPr="00474548">
        <w:rPr>
          <w:sz w:val="22"/>
          <w:szCs w:val="22"/>
          <w:lang w:val="en-US"/>
        </w:rPr>
        <w:t xml:space="preserve">related to other regulatory </w:t>
      </w:r>
      <w:r w:rsidR="00276EEE" w:rsidRPr="00474548">
        <w:rPr>
          <w:sz w:val="22"/>
          <w:szCs w:val="22"/>
          <w:lang w:val="en-US"/>
        </w:rPr>
        <w:t>disturbances</w:t>
      </w:r>
      <w:r w:rsidRPr="00474548">
        <w:rPr>
          <w:sz w:val="22"/>
          <w:szCs w:val="22"/>
          <w:lang w:val="en-US"/>
        </w:rPr>
        <w:t xml:space="preserve">, for which other events addressed to the electricity sector were identified, but with low or </w:t>
      </w:r>
      <w:r w:rsidR="00276EEE" w:rsidRPr="00474548">
        <w:rPr>
          <w:sz w:val="22"/>
          <w:szCs w:val="22"/>
          <w:lang w:val="en-US"/>
        </w:rPr>
        <w:t>ir</w:t>
      </w:r>
      <w:r w:rsidRPr="00474548">
        <w:rPr>
          <w:sz w:val="22"/>
          <w:szCs w:val="22"/>
          <w:lang w:val="en-US"/>
        </w:rPr>
        <w:t xml:space="preserve">relevant </w:t>
      </w:r>
      <w:r w:rsidR="00276EEE" w:rsidRPr="00474548">
        <w:rPr>
          <w:sz w:val="22"/>
          <w:szCs w:val="22"/>
          <w:lang w:val="en-US"/>
        </w:rPr>
        <w:t>RC</w:t>
      </w:r>
      <w:r w:rsidRPr="00474548">
        <w:rPr>
          <w:sz w:val="22"/>
          <w:szCs w:val="22"/>
          <w:lang w:val="en-US"/>
        </w:rPr>
        <w:t xml:space="preserve">, which </w:t>
      </w:r>
      <w:r w:rsidR="006423A1" w:rsidRPr="00474548">
        <w:rPr>
          <w:sz w:val="22"/>
          <w:szCs w:val="22"/>
          <w:lang w:val="en-US"/>
        </w:rPr>
        <w:t>are</w:t>
      </w:r>
      <w:r w:rsidRPr="00474548">
        <w:rPr>
          <w:sz w:val="22"/>
          <w:szCs w:val="22"/>
          <w:lang w:val="en-US"/>
        </w:rPr>
        <w:t xml:space="preserve"> called </w:t>
      </w:r>
      <w:r w:rsidR="006423A1" w:rsidRPr="00474548">
        <w:rPr>
          <w:sz w:val="22"/>
          <w:szCs w:val="22"/>
          <w:lang w:val="en-US"/>
        </w:rPr>
        <w:t>O</w:t>
      </w:r>
      <w:r w:rsidRPr="00474548">
        <w:rPr>
          <w:sz w:val="22"/>
          <w:szCs w:val="22"/>
          <w:lang w:val="en-US"/>
        </w:rPr>
        <w:t xml:space="preserve">ther </w:t>
      </w:r>
      <w:r w:rsidR="006423A1" w:rsidRPr="00474548">
        <w:rPr>
          <w:sz w:val="22"/>
          <w:szCs w:val="22"/>
          <w:lang w:val="en-US"/>
        </w:rPr>
        <w:t>R</w:t>
      </w:r>
      <w:r w:rsidRPr="00474548">
        <w:rPr>
          <w:sz w:val="22"/>
          <w:szCs w:val="22"/>
          <w:lang w:val="en-US"/>
        </w:rPr>
        <w:t xml:space="preserve">egulatory </w:t>
      </w:r>
      <w:r w:rsidR="006423A1" w:rsidRPr="00474548">
        <w:rPr>
          <w:sz w:val="22"/>
          <w:szCs w:val="22"/>
          <w:lang w:val="en-US"/>
        </w:rPr>
        <w:t>E</w:t>
      </w:r>
      <w:r w:rsidRPr="00474548">
        <w:rPr>
          <w:sz w:val="22"/>
          <w:szCs w:val="22"/>
          <w:lang w:val="en-US"/>
        </w:rPr>
        <w:t>vents. These include economic and political events such as the National Privatization Plan, privatization</w:t>
      </w:r>
      <w:r w:rsidR="006423A1" w:rsidRPr="00474548">
        <w:rPr>
          <w:sz w:val="22"/>
          <w:szCs w:val="22"/>
          <w:lang w:val="en-US"/>
        </w:rPr>
        <w:t xml:space="preserve"> of power companies</w:t>
      </w:r>
      <w:r w:rsidRPr="00474548">
        <w:rPr>
          <w:sz w:val="22"/>
          <w:szCs w:val="22"/>
          <w:lang w:val="en-US"/>
        </w:rPr>
        <w:t>,</w:t>
      </w:r>
      <w:r w:rsidR="00276EEE" w:rsidRPr="00474548">
        <w:rPr>
          <w:sz w:val="22"/>
          <w:szCs w:val="22"/>
          <w:lang w:val="en-US"/>
        </w:rPr>
        <w:t xml:space="preserve"> and</w:t>
      </w:r>
      <w:r w:rsidRPr="00474548">
        <w:rPr>
          <w:sz w:val="22"/>
          <w:szCs w:val="22"/>
          <w:lang w:val="en-US"/>
        </w:rPr>
        <w:t xml:space="preserve"> international agreements that </w:t>
      </w:r>
      <w:r w:rsidR="00276EEE" w:rsidRPr="00474548">
        <w:rPr>
          <w:sz w:val="22"/>
          <w:szCs w:val="22"/>
          <w:lang w:val="en-US"/>
        </w:rPr>
        <w:t>affect</w:t>
      </w:r>
      <w:r w:rsidRPr="00474548">
        <w:rPr>
          <w:sz w:val="22"/>
          <w:szCs w:val="22"/>
          <w:lang w:val="en-US"/>
        </w:rPr>
        <w:t xml:space="preserve"> the sector. </w:t>
      </w:r>
    </w:p>
    <w:p w14:paraId="0449BFC3" w14:textId="77777777" w:rsidR="005B605A" w:rsidRPr="00474548" w:rsidRDefault="005B605A" w:rsidP="008E6F8E">
      <w:pPr>
        <w:tabs>
          <w:tab w:val="left" w:pos="5710"/>
        </w:tabs>
        <w:ind w:firstLine="709"/>
        <w:rPr>
          <w:sz w:val="22"/>
          <w:szCs w:val="22"/>
          <w:lang w:val="en-US"/>
        </w:rPr>
      </w:pPr>
    </w:p>
    <w:p w14:paraId="04B5978C" w14:textId="1840BFEF" w:rsidR="005B605A" w:rsidRPr="00474548" w:rsidRDefault="006D0173" w:rsidP="008E6F8E">
      <w:pPr>
        <w:tabs>
          <w:tab w:val="left" w:pos="5710"/>
        </w:tabs>
        <w:jc w:val="both"/>
        <w:rPr>
          <w:b/>
          <w:sz w:val="22"/>
          <w:szCs w:val="22"/>
          <w:lang w:val="en-US"/>
        </w:rPr>
      </w:pPr>
      <w:r w:rsidRPr="00474548">
        <w:rPr>
          <w:b/>
          <w:sz w:val="22"/>
          <w:szCs w:val="22"/>
          <w:lang w:val="en-US"/>
        </w:rPr>
        <w:t xml:space="preserve">4.4 Impact of </w:t>
      </w:r>
      <w:r w:rsidR="00192075" w:rsidRPr="00474548">
        <w:rPr>
          <w:b/>
          <w:sz w:val="22"/>
          <w:szCs w:val="22"/>
          <w:lang w:val="en-US"/>
        </w:rPr>
        <w:t>the RC</w:t>
      </w:r>
      <w:r w:rsidR="009F2C79" w:rsidRPr="00474548">
        <w:rPr>
          <w:b/>
          <w:sz w:val="22"/>
          <w:szCs w:val="22"/>
          <w:lang w:val="en-US"/>
        </w:rPr>
        <w:t xml:space="preserve"> </w:t>
      </w:r>
      <w:r w:rsidR="00C4152F" w:rsidRPr="00474548">
        <w:rPr>
          <w:b/>
          <w:sz w:val="22"/>
          <w:szCs w:val="22"/>
          <w:lang w:val="en-US"/>
        </w:rPr>
        <w:t>i</w:t>
      </w:r>
      <w:r w:rsidRPr="00474548">
        <w:rPr>
          <w:b/>
          <w:sz w:val="22"/>
          <w:szCs w:val="22"/>
          <w:lang w:val="en-US"/>
        </w:rPr>
        <w:t xml:space="preserve">ntensity </w:t>
      </w:r>
      <w:r w:rsidR="006423A1" w:rsidRPr="00474548">
        <w:rPr>
          <w:b/>
          <w:sz w:val="22"/>
          <w:szCs w:val="22"/>
          <w:lang w:val="en-US"/>
        </w:rPr>
        <w:t>on</w:t>
      </w:r>
      <w:r w:rsidRPr="00474548">
        <w:rPr>
          <w:b/>
          <w:sz w:val="22"/>
          <w:szCs w:val="22"/>
          <w:lang w:val="en-US"/>
        </w:rPr>
        <w:t xml:space="preserve"> </w:t>
      </w:r>
      <w:r w:rsidR="005D2747" w:rsidRPr="00474548">
        <w:rPr>
          <w:b/>
          <w:sz w:val="22"/>
          <w:szCs w:val="22"/>
          <w:lang w:val="en-US"/>
        </w:rPr>
        <w:t>stock risk</w:t>
      </w:r>
    </w:p>
    <w:p w14:paraId="3938560F" w14:textId="29AF754B" w:rsidR="005B605A" w:rsidRPr="00474548" w:rsidRDefault="005B605A" w:rsidP="008E6F8E">
      <w:pPr>
        <w:tabs>
          <w:tab w:val="center" w:pos="4890"/>
        </w:tabs>
        <w:ind w:firstLine="709"/>
        <w:jc w:val="both"/>
        <w:rPr>
          <w:sz w:val="22"/>
          <w:szCs w:val="22"/>
          <w:lang w:val="en-US"/>
        </w:rPr>
      </w:pPr>
      <w:r w:rsidRPr="00474548">
        <w:rPr>
          <w:sz w:val="22"/>
          <w:szCs w:val="22"/>
          <w:lang w:val="en-US"/>
        </w:rPr>
        <w:t xml:space="preserve">To capture the impact of </w:t>
      </w:r>
      <w:r w:rsidR="00276EEE" w:rsidRPr="00474548">
        <w:rPr>
          <w:sz w:val="22"/>
          <w:szCs w:val="22"/>
          <w:lang w:val="en-US"/>
        </w:rPr>
        <w:t>RC</w:t>
      </w:r>
      <w:r w:rsidRPr="00474548">
        <w:rPr>
          <w:sz w:val="22"/>
          <w:szCs w:val="22"/>
          <w:lang w:val="en-US"/>
        </w:rPr>
        <w:t xml:space="preserve"> intensity on </w:t>
      </w:r>
      <w:r w:rsidR="005D2747" w:rsidRPr="00474548">
        <w:rPr>
          <w:sz w:val="22"/>
          <w:szCs w:val="22"/>
          <w:lang w:val="en-US"/>
        </w:rPr>
        <w:t>stock risk</w:t>
      </w:r>
      <w:r w:rsidR="006423A1" w:rsidRPr="00474548">
        <w:rPr>
          <w:sz w:val="22"/>
          <w:szCs w:val="22"/>
          <w:lang w:val="en-US"/>
        </w:rPr>
        <w:t>,</w:t>
      </w:r>
      <w:r w:rsidRPr="00474548">
        <w:rPr>
          <w:sz w:val="22"/>
          <w:szCs w:val="22"/>
          <w:lang w:val="en-US"/>
        </w:rPr>
        <w:t xml:space="preserve"> several tests using the </w:t>
      </w:r>
      <w:r w:rsidR="001C7A79" w:rsidRPr="00474548">
        <w:rPr>
          <w:sz w:val="22"/>
          <w:szCs w:val="22"/>
          <w:lang w:val="en-US"/>
        </w:rPr>
        <w:t>m</w:t>
      </w:r>
      <w:r w:rsidRPr="00474548">
        <w:rPr>
          <w:sz w:val="22"/>
          <w:szCs w:val="22"/>
          <w:lang w:val="en-US"/>
        </w:rPr>
        <w:t xml:space="preserve">arket </w:t>
      </w:r>
      <w:r w:rsidR="001C7A79" w:rsidRPr="00474548">
        <w:rPr>
          <w:sz w:val="22"/>
          <w:szCs w:val="22"/>
          <w:lang w:val="en-US"/>
        </w:rPr>
        <w:t>m</w:t>
      </w:r>
      <w:r w:rsidRPr="00474548">
        <w:rPr>
          <w:sz w:val="22"/>
          <w:szCs w:val="22"/>
          <w:lang w:val="en-US"/>
        </w:rPr>
        <w:t>odel were performed</w:t>
      </w:r>
      <w:r w:rsidR="006423A1" w:rsidRPr="00474548">
        <w:rPr>
          <w:sz w:val="22"/>
          <w:szCs w:val="22"/>
          <w:lang w:val="en-US"/>
        </w:rPr>
        <w:t xml:space="preserve"> (as per equation 4)</w:t>
      </w:r>
      <w:r w:rsidRPr="00474548">
        <w:rPr>
          <w:sz w:val="22"/>
          <w:szCs w:val="22"/>
          <w:lang w:val="en-US"/>
        </w:rPr>
        <w:t xml:space="preserve">. The tests were performed </w:t>
      </w:r>
      <w:r w:rsidR="006423A1" w:rsidRPr="00474548">
        <w:rPr>
          <w:sz w:val="22"/>
          <w:szCs w:val="22"/>
          <w:lang w:val="en-US"/>
        </w:rPr>
        <w:t xml:space="preserve">using </w:t>
      </w:r>
      <w:proofErr w:type="spellStart"/>
      <w:r w:rsidRPr="00474548">
        <w:rPr>
          <w:i/>
          <w:sz w:val="22"/>
          <w:szCs w:val="22"/>
          <w:lang w:val="en-US"/>
        </w:rPr>
        <w:t>Gretl</w:t>
      </w:r>
      <w:proofErr w:type="spellEnd"/>
      <w:r w:rsidRPr="00474548">
        <w:rPr>
          <w:i/>
          <w:sz w:val="22"/>
          <w:szCs w:val="22"/>
          <w:lang w:val="en-US"/>
        </w:rPr>
        <w:t xml:space="preserve"> Software</w:t>
      </w:r>
      <w:r w:rsidRPr="00474548">
        <w:rPr>
          <w:sz w:val="22"/>
          <w:szCs w:val="22"/>
          <w:lang w:val="en-US"/>
        </w:rPr>
        <w:t xml:space="preserve"> version 1.7.1 and </w:t>
      </w:r>
      <w:r w:rsidRPr="00474548">
        <w:rPr>
          <w:i/>
          <w:sz w:val="22"/>
          <w:szCs w:val="22"/>
          <w:lang w:val="en-US"/>
        </w:rPr>
        <w:t>SPSS software</w:t>
      </w:r>
      <w:r w:rsidRPr="00474548">
        <w:rPr>
          <w:sz w:val="22"/>
          <w:szCs w:val="22"/>
          <w:lang w:val="en-US"/>
        </w:rPr>
        <w:t xml:space="preserve"> version 20</w:t>
      </w:r>
      <w:r w:rsidRPr="00474548">
        <w:rPr>
          <w:i/>
          <w:sz w:val="22"/>
          <w:szCs w:val="22"/>
          <w:lang w:val="en-US"/>
        </w:rPr>
        <w:t xml:space="preserve">. </w:t>
      </w:r>
      <w:r w:rsidRPr="00474548">
        <w:rPr>
          <w:sz w:val="22"/>
          <w:szCs w:val="22"/>
          <w:lang w:val="en-US"/>
        </w:rPr>
        <w:t xml:space="preserve">The first tests refer to the inclusion of a single </w:t>
      </w:r>
      <w:r w:rsidRPr="00474548">
        <w:rPr>
          <w:i/>
          <w:sz w:val="22"/>
          <w:szCs w:val="22"/>
          <w:lang w:val="en-US"/>
        </w:rPr>
        <w:t>dummy</w:t>
      </w:r>
      <w:r w:rsidRPr="00474548">
        <w:rPr>
          <w:sz w:val="22"/>
          <w:szCs w:val="22"/>
          <w:lang w:val="en-US"/>
        </w:rPr>
        <w:t xml:space="preserve"> variable (</w:t>
      </w:r>
      <w:proofErr w:type="spellStart"/>
      <w:r w:rsidRPr="00474548">
        <w:rPr>
          <w:sz w:val="22"/>
          <w:szCs w:val="22"/>
          <w:lang w:val="en-US"/>
        </w:rPr>
        <w:t>Wonnacott</w:t>
      </w:r>
      <w:proofErr w:type="spellEnd"/>
      <w:r w:rsidRPr="00474548">
        <w:rPr>
          <w:sz w:val="22"/>
          <w:szCs w:val="22"/>
          <w:lang w:val="en-US"/>
        </w:rPr>
        <w:t xml:space="preserve"> and </w:t>
      </w:r>
      <w:proofErr w:type="spellStart"/>
      <w:r w:rsidRPr="00474548">
        <w:rPr>
          <w:sz w:val="22"/>
          <w:szCs w:val="22"/>
          <w:lang w:val="en-US"/>
        </w:rPr>
        <w:t>Wonnacott</w:t>
      </w:r>
      <w:proofErr w:type="spellEnd"/>
      <w:r w:rsidRPr="00474548">
        <w:rPr>
          <w:sz w:val="22"/>
          <w:szCs w:val="22"/>
          <w:lang w:val="en-US"/>
        </w:rPr>
        <w:t>, 1990) for each event family: MP/Laws, Other Significant Events</w:t>
      </w:r>
      <w:r w:rsidR="006423A1" w:rsidRPr="00474548">
        <w:rPr>
          <w:sz w:val="22"/>
          <w:szCs w:val="22"/>
          <w:lang w:val="en-US"/>
        </w:rPr>
        <w:t>,</w:t>
      </w:r>
      <w:r w:rsidRPr="00474548">
        <w:rPr>
          <w:sz w:val="22"/>
          <w:szCs w:val="22"/>
          <w:lang w:val="en-US"/>
        </w:rPr>
        <w:t xml:space="preserve"> and Other Regulatory Events. </w:t>
      </w:r>
    </w:p>
    <w:p w14:paraId="3C98CC55" w14:textId="77777777" w:rsidR="00086719" w:rsidRPr="00474548" w:rsidRDefault="00086719" w:rsidP="008E6F8E">
      <w:pPr>
        <w:tabs>
          <w:tab w:val="center" w:pos="4890"/>
        </w:tabs>
        <w:ind w:firstLine="709"/>
        <w:jc w:val="both"/>
        <w:rPr>
          <w:sz w:val="22"/>
          <w:szCs w:val="22"/>
          <w:lang w:val="en-US"/>
        </w:rPr>
      </w:pPr>
    </w:p>
    <w:p w14:paraId="5B5FAAED" w14:textId="50A61998" w:rsidR="005B605A" w:rsidRPr="00474548" w:rsidRDefault="005B605A" w:rsidP="009F49FD">
      <w:pPr>
        <w:pStyle w:val="Subtitle"/>
        <w:rPr>
          <w:rFonts w:ascii="Times New Roman" w:hAnsi="Times New Roman"/>
          <w:sz w:val="22"/>
          <w:szCs w:val="22"/>
          <w:lang w:val="en-US"/>
        </w:rPr>
      </w:pPr>
      <w:bookmarkStart w:id="18" w:name="_Toc391473723"/>
      <w:r w:rsidRPr="00474548">
        <w:rPr>
          <w:rFonts w:ascii="Times New Roman" w:hAnsi="Times New Roman"/>
          <w:sz w:val="22"/>
          <w:szCs w:val="22"/>
          <w:lang w:val="en-US"/>
        </w:rPr>
        <w:t xml:space="preserve">4.4.1 Only </w:t>
      </w:r>
      <w:r w:rsidR="00BB60E3" w:rsidRPr="00474548">
        <w:rPr>
          <w:rFonts w:ascii="Times New Roman" w:hAnsi="Times New Roman"/>
          <w:sz w:val="22"/>
          <w:szCs w:val="22"/>
          <w:lang w:val="en-US"/>
        </w:rPr>
        <w:t xml:space="preserve">one </w:t>
      </w:r>
      <w:r w:rsidRPr="00474548">
        <w:rPr>
          <w:rFonts w:ascii="Times New Roman" w:hAnsi="Times New Roman"/>
          <w:i/>
          <w:sz w:val="22"/>
          <w:szCs w:val="22"/>
          <w:lang w:val="en-US"/>
        </w:rPr>
        <w:t>dummy</w:t>
      </w:r>
      <w:r w:rsidRPr="00474548">
        <w:rPr>
          <w:rFonts w:ascii="Times New Roman" w:hAnsi="Times New Roman"/>
          <w:sz w:val="22"/>
          <w:szCs w:val="22"/>
          <w:lang w:val="en-US"/>
        </w:rPr>
        <w:t xml:space="preserve"> for regime change corresponding </w:t>
      </w:r>
      <w:r w:rsidR="006423A1" w:rsidRPr="00474548">
        <w:rPr>
          <w:rFonts w:ascii="Times New Roman" w:hAnsi="Times New Roman"/>
          <w:sz w:val="22"/>
          <w:szCs w:val="22"/>
          <w:lang w:val="en-US"/>
        </w:rPr>
        <w:t xml:space="preserve">to </w:t>
      </w:r>
      <w:r w:rsidRPr="00474548">
        <w:rPr>
          <w:rFonts w:ascii="Times New Roman" w:hAnsi="Times New Roman"/>
          <w:sz w:val="22"/>
          <w:szCs w:val="22"/>
          <w:lang w:val="en-US"/>
        </w:rPr>
        <w:t>MP/Laws.</w:t>
      </w:r>
      <w:bookmarkEnd w:id="18"/>
    </w:p>
    <w:p w14:paraId="4D0767B4" w14:textId="60F86FE2" w:rsidR="000F7154" w:rsidRDefault="00BB60E3" w:rsidP="006E641C">
      <w:pPr>
        <w:autoSpaceDE w:val="0"/>
        <w:autoSpaceDN w:val="0"/>
        <w:adjustRightInd w:val="0"/>
        <w:ind w:firstLine="720"/>
        <w:jc w:val="both"/>
        <w:rPr>
          <w:sz w:val="22"/>
          <w:szCs w:val="22"/>
          <w:lang w:val="en-US"/>
        </w:rPr>
      </w:pPr>
      <w:r w:rsidRPr="00474548">
        <w:rPr>
          <w:sz w:val="22"/>
          <w:szCs w:val="22"/>
          <w:lang w:val="en-US"/>
        </w:rPr>
        <w:t>The</w:t>
      </w:r>
      <w:r w:rsidRPr="00474548">
        <w:rPr>
          <w:i/>
          <w:sz w:val="22"/>
          <w:szCs w:val="22"/>
          <w:lang w:val="en-US"/>
        </w:rPr>
        <w:t xml:space="preserve"> </w:t>
      </w:r>
      <w:r w:rsidR="005B605A" w:rsidRPr="00474548">
        <w:rPr>
          <w:i/>
          <w:sz w:val="22"/>
          <w:szCs w:val="22"/>
          <w:lang w:val="en-US"/>
        </w:rPr>
        <w:t>Dummy</w:t>
      </w:r>
      <w:r w:rsidR="005B605A" w:rsidRPr="00474548">
        <w:rPr>
          <w:sz w:val="22"/>
          <w:szCs w:val="22"/>
          <w:lang w:val="en-US"/>
        </w:rPr>
        <w:t xml:space="preserve"> variable of the MP/Laws family involves six Markov Regime </w:t>
      </w:r>
      <w:r w:rsidR="00A11F4D" w:rsidRPr="00474548">
        <w:rPr>
          <w:sz w:val="22"/>
          <w:szCs w:val="22"/>
          <w:lang w:val="en-US"/>
        </w:rPr>
        <w:t>C</w:t>
      </w:r>
      <w:r w:rsidR="005B605A" w:rsidRPr="00474548">
        <w:rPr>
          <w:sz w:val="22"/>
          <w:szCs w:val="22"/>
          <w:lang w:val="en-US"/>
        </w:rPr>
        <w:t xml:space="preserve">hanges. </w:t>
      </w:r>
      <w:r w:rsidR="009F49FD" w:rsidRPr="00474548">
        <w:rPr>
          <w:sz w:val="22"/>
          <w:szCs w:val="22"/>
          <w:lang w:val="en-US"/>
        </w:rPr>
        <w:t>The results are shown in Table 4</w:t>
      </w:r>
      <w:r w:rsidR="005B605A" w:rsidRPr="00474548">
        <w:rPr>
          <w:sz w:val="22"/>
          <w:szCs w:val="22"/>
          <w:lang w:val="en-US"/>
        </w:rPr>
        <w:t>.</w:t>
      </w:r>
      <w:r w:rsidR="000F7154" w:rsidRPr="00474548">
        <w:rPr>
          <w:sz w:val="22"/>
          <w:szCs w:val="22"/>
          <w:lang w:val="en-US"/>
        </w:rPr>
        <w:t xml:space="preserve"> The IBOVESPA return and the MP/Laws multiplicative </w:t>
      </w:r>
      <w:r w:rsidR="000F7154" w:rsidRPr="00474548">
        <w:rPr>
          <w:i/>
          <w:sz w:val="22"/>
          <w:szCs w:val="22"/>
          <w:lang w:val="en-US"/>
        </w:rPr>
        <w:t>dummy</w:t>
      </w:r>
      <w:r w:rsidR="000F7154" w:rsidRPr="00474548">
        <w:rPr>
          <w:sz w:val="22"/>
          <w:szCs w:val="22"/>
          <w:lang w:val="en-US"/>
        </w:rPr>
        <w:t xml:space="preserve"> explain up to 66% of the returns of the shares comprising the IEE. The risk to the electricity sector representative shares corresponds to 0.798 or 79.8% of the market risk. The </w:t>
      </w:r>
      <w:r w:rsidR="000F7154" w:rsidRPr="00474548">
        <w:rPr>
          <w:i/>
          <w:sz w:val="22"/>
          <w:szCs w:val="22"/>
          <w:lang w:val="en-US"/>
        </w:rPr>
        <w:t>dummy</w:t>
      </w:r>
      <w:r w:rsidR="000F7154" w:rsidRPr="00474548">
        <w:rPr>
          <w:sz w:val="22"/>
          <w:szCs w:val="22"/>
          <w:lang w:val="en-US"/>
        </w:rPr>
        <w:t xml:space="preserve"> variable on the MP/Laws family is significant. In this case, the MP/Laws regulatory risk presents a 3.6% impact on the stock risks that make up the IEE</w:t>
      </w:r>
    </w:p>
    <w:p w14:paraId="35E90BFE" w14:textId="77777777" w:rsidR="006E641C" w:rsidRPr="00474548" w:rsidRDefault="006E641C" w:rsidP="006E641C">
      <w:pPr>
        <w:autoSpaceDE w:val="0"/>
        <w:autoSpaceDN w:val="0"/>
        <w:adjustRightInd w:val="0"/>
        <w:ind w:firstLine="720"/>
        <w:jc w:val="both"/>
        <w:rPr>
          <w:sz w:val="22"/>
          <w:szCs w:val="22"/>
          <w:lang w:val="en-US"/>
        </w:rPr>
      </w:pPr>
    </w:p>
    <w:p w14:paraId="5B946414" w14:textId="379550B1" w:rsidR="005B605A" w:rsidRPr="00474548" w:rsidRDefault="009F49FD" w:rsidP="008E6F8E">
      <w:pPr>
        <w:pStyle w:val="Caption"/>
        <w:spacing w:after="0"/>
        <w:rPr>
          <w:b w:val="0"/>
          <w:color w:val="auto"/>
          <w:sz w:val="22"/>
          <w:szCs w:val="22"/>
          <w:lang w:val="en-US"/>
        </w:rPr>
      </w:pPr>
      <w:bookmarkStart w:id="19" w:name="_Toc391499586"/>
      <w:r w:rsidRPr="00474548">
        <w:rPr>
          <w:b w:val="0"/>
          <w:color w:val="auto"/>
          <w:sz w:val="22"/>
          <w:szCs w:val="22"/>
          <w:lang w:val="en-US"/>
        </w:rPr>
        <w:lastRenderedPageBreak/>
        <w:t>Table 4</w:t>
      </w:r>
      <w:r w:rsidR="005B605A" w:rsidRPr="00474548">
        <w:rPr>
          <w:b w:val="0"/>
          <w:color w:val="auto"/>
          <w:sz w:val="22"/>
          <w:szCs w:val="22"/>
          <w:lang w:val="en-US"/>
        </w:rPr>
        <w:t xml:space="preserve"> - Single </w:t>
      </w:r>
      <w:r w:rsidR="005B605A" w:rsidRPr="00474548">
        <w:rPr>
          <w:b w:val="0"/>
          <w:i/>
          <w:color w:val="auto"/>
          <w:sz w:val="22"/>
          <w:szCs w:val="22"/>
          <w:u w:val="single"/>
          <w:lang w:val="en-US"/>
        </w:rPr>
        <w:t>d</w:t>
      </w:r>
      <w:r w:rsidR="005B605A" w:rsidRPr="00474548">
        <w:rPr>
          <w:b w:val="0"/>
          <w:i/>
          <w:color w:val="auto"/>
          <w:sz w:val="22"/>
          <w:szCs w:val="22"/>
          <w:lang w:val="en-US"/>
        </w:rPr>
        <w:t>ummy</w:t>
      </w:r>
      <w:r w:rsidR="005B605A" w:rsidRPr="00474548">
        <w:rPr>
          <w:b w:val="0"/>
          <w:color w:val="auto"/>
          <w:sz w:val="22"/>
          <w:szCs w:val="22"/>
          <w:lang w:val="en-US"/>
        </w:rPr>
        <w:t>: MP/L</w:t>
      </w:r>
      <w:r w:rsidR="00D873B5" w:rsidRPr="00474548">
        <w:rPr>
          <w:b w:val="0"/>
          <w:color w:val="auto"/>
          <w:sz w:val="22"/>
          <w:szCs w:val="22"/>
          <w:lang w:val="en-US"/>
        </w:rPr>
        <w:t>aws</w:t>
      </w:r>
      <w:r w:rsidR="005B605A" w:rsidRPr="00474548">
        <w:rPr>
          <w:b w:val="0"/>
          <w:color w:val="auto"/>
          <w:sz w:val="22"/>
          <w:szCs w:val="22"/>
          <w:lang w:val="en-US"/>
        </w:rPr>
        <w:t xml:space="preserve"> family</w:t>
      </w:r>
      <w:bookmarkEnd w:id="1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237"/>
        <w:gridCol w:w="1726"/>
        <w:gridCol w:w="1666"/>
        <w:gridCol w:w="1346"/>
        <w:gridCol w:w="1708"/>
      </w:tblGrid>
      <w:tr w:rsidR="005B605A" w:rsidRPr="00474548" w14:paraId="1DEE119F" w14:textId="77777777" w:rsidTr="00AB10E8">
        <w:trPr>
          <w:trHeight w:val="349"/>
        </w:trPr>
        <w:tc>
          <w:tcPr>
            <w:tcW w:w="866" w:type="pct"/>
            <w:tcBorders>
              <w:top w:val="single" w:sz="4" w:space="0" w:color="auto"/>
              <w:bottom w:val="single" w:sz="4" w:space="0" w:color="auto"/>
            </w:tcBorders>
            <w:shd w:val="clear" w:color="auto" w:fill="D9D9D9" w:themeFill="background1" w:themeFillShade="D9"/>
            <w:hideMark/>
          </w:tcPr>
          <w:p w14:paraId="66D0453B"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Variable</w:t>
            </w:r>
          </w:p>
        </w:tc>
        <w:tc>
          <w:tcPr>
            <w:tcW w:w="691" w:type="pct"/>
            <w:tcBorders>
              <w:top w:val="single" w:sz="4" w:space="0" w:color="auto"/>
              <w:bottom w:val="single" w:sz="4" w:space="0" w:color="auto"/>
            </w:tcBorders>
            <w:shd w:val="clear" w:color="auto" w:fill="D9D9D9" w:themeFill="background1" w:themeFillShade="D9"/>
            <w:hideMark/>
          </w:tcPr>
          <w:p w14:paraId="5EFCCCD6"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Coefficient</w:t>
            </w:r>
          </w:p>
        </w:tc>
        <w:tc>
          <w:tcPr>
            <w:tcW w:w="964" w:type="pct"/>
            <w:tcBorders>
              <w:top w:val="single" w:sz="4" w:space="0" w:color="auto"/>
              <w:bottom w:val="single" w:sz="4" w:space="0" w:color="auto"/>
            </w:tcBorders>
            <w:shd w:val="clear" w:color="auto" w:fill="D9D9D9" w:themeFill="background1" w:themeFillShade="D9"/>
            <w:hideMark/>
          </w:tcPr>
          <w:p w14:paraId="234B16DE"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Standard Error</w:t>
            </w:r>
          </w:p>
        </w:tc>
        <w:tc>
          <w:tcPr>
            <w:tcW w:w="875" w:type="pct"/>
            <w:tcBorders>
              <w:top w:val="single" w:sz="4" w:space="0" w:color="auto"/>
              <w:bottom w:val="single" w:sz="4" w:space="0" w:color="auto"/>
            </w:tcBorders>
            <w:shd w:val="clear" w:color="auto" w:fill="D9D9D9" w:themeFill="background1" w:themeFillShade="D9"/>
            <w:hideMark/>
          </w:tcPr>
          <w:p w14:paraId="12B9166C" w14:textId="140E1B1E" w:rsidR="005B605A" w:rsidRPr="00474548" w:rsidRDefault="00A8308C" w:rsidP="008E6F8E">
            <w:pPr>
              <w:jc w:val="center"/>
              <w:rPr>
                <w:rFonts w:eastAsia="Times New Roman"/>
                <w:color w:val="000000"/>
                <w:sz w:val="22"/>
                <w:szCs w:val="22"/>
                <w:lang w:val="en-US"/>
              </w:rPr>
            </w:pPr>
            <w:r w:rsidRPr="00474548">
              <w:rPr>
                <w:color w:val="000000"/>
                <w:kern w:val="0"/>
                <w:sz w:val="22"/>
                <w:szCs w:val="22"/>
                <w:lang w:val="en-US"/>
              </w:rPr>
              <w:t>Standardized Beta</w:t>
            </w:r>
          </w:p>
        </w:tc>
        <w:tc>
          <w:tcPr>
            <w:tcW w:w="707" w:type="pct"/>
            <w:tcBorders>
              <w:top w:val="single" w:sz="4" w:space="0" w:color="auto"/>
              <w:bottom w:val="single" w:sz="4" w:space="0" w:color="auto"/>
            </w:tcBorders>
            <w:shd w:val="clear" w:color="auto" w:fill="D9D9D9" w:themeFill="background1" w:themeFillShade="D9"/>
          </w:tcPr>
          <w:p w14:paraId="619DE38E" w14:textId="0CB6862B" w:rsidR="005B605A" w:rsidRPr="00474548" w:rsidRDefault="00B11596" w:rsidP="008E6F8E">
            <w:pPr>
              <w:jc w:val="center"/>
              <w:rPr>
                <w:rFonts w:eastAsia="Times New Roman"/>
                <w:color w:val="000000"/>
                <w:sz w:val="22"/>
                <w:szCs w:val="22"/>
                <w:lang w:val="en-US"/>
              </w:rPr>
            </w:pPr>
            <w:r w:rsidRPr="00474548">
              <w:rPr>
                <w:color w:val="000000"/>
                <w:sz w:val="22"/>
                <w:szCs w:val="22"/>
                <w:lang w:val="en-US"/>
              </w:rPr>
              <w:t>t-</w:t>
            </w:r>
            <w:r w:rsidR="005B605A" w:rsidRPr="00474548">
              <w:rPr>
                <w:color w:val="000000"/>
                <w:sz w:val="22"/>
                <w:szCs w:val="22"/>
                <w:lang w:val="en-US"/>
              </w:rPr>
              <w:t>statistics</w:t>
            </w:r>
          </w:p>
        </w:tc>
        <w:tc>
          <w:tcPr>
            <w:tcW w:w="897" w:type="pct"/>
            <w:tcBorders>
              <w:top w:val="single" w:sz="4" w:space="0" w:color="auto"/>
              <w:bottom w:val="single" w:sz="4" w:space="0" w:color="auto"/>
            </w:tcBorders>
            <w:shd w:val="clear" w:color="auto" w:fill="D9D9D9" w:themeFill="background1" w:themeFillShade="D9"/>
            <w:hideMark/>
          </w:tcPr>
          <w:p w14:paraId="012FB2E1"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p-value</w:t>
            </w:r>
          </w:p>
        </w:tc>
      </w:tr>
      <w:tr w:rsidR="005B605A" w:rsidRPr="00474548" w14:paraId="0B35016F" w14:textId="77777777" w:rsidTr="00AB10E8">
        <w:trPr>
          <w:trHeight w:val="270"/>
        </w:trPr>
        <w:tc>
          <w:tcPr>
            <w:tcW w:w="866" w:type="pct"/>
            <w:tcBorders>
              <w:top w:val="single" w:sz="4" w:space="0" w:color="auto"/>
            </w:tcBorders>
            <w:hideMark/>
          </w:tcPr>
          <w:p w14:paraId="5126B6DC"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Constant</w:t>
            </w:r>
          </w:p>
        </w:tc>
        <w:tc>
          <w:tcPr>
            <w:tcW w:w="691" w:type="pct"/>
            <w:tcBorders>
              <w:top w:val="single" w:sz="4" w:space="0" w:color="auto"/>
            </w:tcBorders>
            <w:hideMark/>
          </w:tcPr>
          <w:p w14:paraId="554200CE"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0.0002011</w:t>
            </w:r>
          </w:p>
        </w:tc>
        <w:tc>
          <w:tcPr>
            <w:tcW w:w="964" w:type="pct"/>
            <w:tcBorders>
              <w:top w:val="single" w:sz="4" w:space="0" w:color="auto"/>
            </w:tcBorders>
            <w:hideMark/>
          </w:tcPr>
          <w:p w14:paraId="6025D020"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0.00016999</w:t>
            </w:r>
          </w:p>
        </w:tc>
        <w:tc>
          <w:tcPr>
            <w:tcW w:w="875" w:type="pct"/>
            <w:tcBorders>
              <w:top w:val="single" w:sz="4" w:space="0" w:color="auto"/>
            </w:tcBorders>
            <w:hideMark/>
          </w:tcPr>
          <w:p w14:paraId="25AE4E0B" w14:textId="77777777" w:rsidR="005B605A" w:rsidRPr="00474548" w:rsidRDefault="005B605A" w:rsidP="008E6F8E">
            <w:pPr>
              <w:jc w:val="center"/>
              <w:rPr>
                <w:rFonts w:eastAsia="Times New Roman"/>
                <w:color w:val="000000"/>
                <w:sz w:val="22"/>
                <w:szCs w:val="22"/>
                <w:lang w:val="en-US"/>
              </w:rPr>
            </w:pPr>
          </w:p>
        </w:tc>
        <w:tc>
          <w:tcPr>
            <w:tcW w:w="707" w:type="pct"/>
            <w:tcBorders>
              <w:top w:val="single" w:sz="4" w:space="0" w:color="auto"/>
            </w:tcBorders>
          </w:tcPr>
          <w:p w14:paraId="2AF4BD7C"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1.1828</w:t>
            </w:r>
          </w:p>
        </w:tc>
        <w:tc>
          <w:tcPr>
            <w:tcW w:w="897" w:type="pct"/>
            <w:tcBorders>
              <w:top w:val="single" w:sz="4" w:space="0" w:color="auto"/>
            </w:tcBorders>
            <w:hideMark/>
          </w:tcPr>
          <w:p w14:paraId="0A160E73"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0.23696</w:t>
            </w:r>
          </w:p>
        </w:tc>
      </w:tr>
      <w:tr w:rsidR="005B605A" w:rsidRPr="00474548" w14:paraId="3A9587DD" w14:textId="77777777" w:rsidTr="00AB10E8">
        <w:trPr>
          <w:trHeight w:val="142"/>
        </w:trPr>
        <w:tc>
          <w:tcPr>
            <w:tcW w:w="866" w:type="pct"/>
            <w:hideMark/>
          </w:tcPr>
          <w:p w14:paraId="0B84C6E2"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RIBOVCORR</w:t>
            </w:r>
          </w:p>
        </w:tc>
        <w:tc>
          <w:tcPr>
            <w:tcW w:w="691" w:type="pct"/>
            <w:hideMark/>
          </w:tcPr>
          <w:p w14:paraId="7FCE917B"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0.698854</w:t>
            </w:r>
          </w:p>
        </w:tc>
        <w:tc>
          <w:tcPr>
            <w:tcW w:w="964" w:type="pct"/>
            <w:hideMark/>
          </w:tcPr>
          <w:p w14:paraId="32B02388"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0.00818369</w:t>
            </w:r>
          </w:p>
        </w:tc>
        <w:tc>
          <w:tcPr>
            <w:tcW w:w="875" w:type="pct"/>
            <w:hideMark/>
          </w:tcPr>
          <w:p w14:paraId="2A4FD806" w14:textId="04AC3AFE" w:rsidR="005B605A" w:rsidRPr="00474548" w:rsidRDefault="00D873B5" w:rsidP="008E6F8E">
            <w:pPr>
              <w:jc w:val="center"/>
              <w:rPr>
                <w:rFonts w:eastAsia="Times New Roman"/>
                <w:color w:val="000000"/>
                <w:sz w:val="22"/>
                <w:szCs w:val="22"/>
                <w:lang w:val="en-US"/>
              </w:rPr>
            </w:pPr>
            <w:r w:rsidRPr="00474548">
              <w:rPr>
                <w:color w:val="000000"/>
                <w:sz w:val="22"/>
                <w:szCs w:val="22"/>
                <w:lang w:val="en-US"/>
              </w:rPr>
              <w:t>0</w:t>
            </w:r>
            <w:r w:rsidR="005B605A" w:rsidRPr="00474548">
              <w:rPr>
                <w:color w:val="000000"/>
                <w:sz w:val="22"/>
                <w:szCs w:val="22"/>
                <w:lang w:val="en-US"/>
              </w:rPr>
              <w:t>.798</w:t>
            </w:r>
          </w:p>
        </w:tc>
        <w:tc>
          <w:tcPr>
            <w:tcW w:w="707" w:type="pct"/>
          </w:tcPr>
          <w:p w14:paraId="541F19D2"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85.3959</w:t>
            </w:r>
          </w:p>
        </w:tc>
        <w:tc>
          <w:tcPr>
            <w:tcW w:w="897" w:type="pct"/>
            <w:hideMark/>
          </w:tcPr>
          <w:p w14:paraId="482E7D9B" w14:textId="65A51EEF"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&lt;0</w:t>
            </w:r>
            <w:r w:rsidR="00BB60E3" w:rsidRPr="00474548">
              <w:rPr>
                <w:color w:val="000000"/>
                <w:sz w:val="22"/>
                <w:szCs w:val="22"/>
                <w:lang w:val="en-US"/>
              </w:rPr>
              <w:t>.</w:t>
            </w:r>
            <w:r w:rsidRPr="00474548">
              <w:rPr>
                <w:color w:val="000000"/>
                <w:sz w:val="22"/>
                <w:szCs w:val="22"/>
                <w:lang w:val="en-US"/>
              </w:rPr>
              <w:t>00001</w:t>
            </w:r>
          </w:p>
        </w:tc>
      </w:tr>
      <w:tr w:rsidR="005B605A" w:rsidRPr="00474548" w14:paraId="6093C386" w14:textId="77777777" w:rsidTr="00AB10E8">
        <w:trPr>
          <w:trHeight w:val="202"/>
        </w:trPr>
        <w:tc>
          <w:tcPr>
            <w:tcW w:w="866" w:type="pct"/>
            <w:tcBorders>
              <w:bottom w:val="single" w:sz="4" w:space="0" w:color="auto"/>
            </w:tcBorders>
            <w:noWrap/>
            <w:hideMark/>
          </w:tcPr>
          <w:p w14:paraId="1589F9FC" w14:textId="1BA4AE0F" w:rsidR="005B605A" w:rsidRPr="00474548" w:rsidRDefault="005B605A" w:rsidP="008E6F8E">
            <w:pPr>
              <w:rPr>
                <w:rFonts w:eastAsia="Times New Roman"/>
                <w:color w:val="000000"/>
                <w:sz w:val="22"/>
                <w:szCs w:val="22"/>
                <w:lang w:val="en-US"/>
              </w:rPr>
            </w:pPr>
            <w:r w:rsidRPr="00474548">
              <w:rPr>
                <w:color w:val="000000"/>
                <w:sz w:val="22"/>
                <w:szCs w:val="22"/>
                <w:lang w:val="en-US"/>
              </w:rPr>
              <w:t>DM_MP/Laws</w:t>
            </w:r>
          </w:p>
        </w:tc>
        <w:tc>
          <w:tcPr>
            <w:tcW w:w="691" w:type="pct"/>
            <w:tcBorders>
              <w:bottom w:val="single" w:sz="4" w:space="0" w:color="auto"/>
            </w:tcBorders>
            <w:noWrap/>
            <w:hideMark/>
          </w:tcPr>
          <w:p w14:paraId="69480413"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0.0920652</w:t>
            </w:r>
          </w:p>
        </w:tc>
        <w:tc>
          <w:tcPr>
            <w:tcW w:w="964" w:type="pct"/>
            <w:tcBorders>
              <w:bottom w:val="single" w:sz="4" w:space="0" w:color="auto"/>
            </w:tcBorders>
            <w:noWrap/>
            <w:hideMark/>
          </w:tcPr>
          <w:p w14:paraId="0AD12A57"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0.0238536</w:t>
            </w:r>
          </w:p>
        </w:tc>
        <w:tc>
          <w:tcPr>
            <w:tcW w:w="875" w:type="pct"/>
            <w:tcBorders>
              <w:bottom w:val="single" w:sz="4" w:space="0" w:color="auto"/>
            </w:tcBorders>
            <w:noWrap/>
            <w:hideMark/>
          </w:tcPr>
          <w:p w14:paraId="1552127E" w14:textId="5E5FD79F" w:rsidR="005B605A" w:rsidRPr="00474548" w:rsidRDefault="00D873B5" w:rsidP="008E6F8E">
            <w:pPr>
              <w:jc w:val="center"/>
              <w:rPr>
                <w:rFonts w:eastAsia="Times New Roman"/>
                <w:color w:val="000000"/>
                <w:sz w:val="22"/>
                <w:szCs w:val="22"/>
                <w:lang w:val="en-US"/>
              </w:rPr>
            </w:pPr>
            <w:r w:rsidRPr="00474548">
              <w:rPr>
                <w:color w:val="000000"/>
                <w:sz w:val="22"/>
                <w:szCs w:val="22"/>
                <w:lang w:val="en-US"/>
              </w:rPr>
              <w:t>0</w:t>
            </w:r>
            <w:r w:rsidR="005B605A" w:rsidRPr="00474548">
              <w:rPr>
                <w:color w:val="000000"/>
                <w:sz w:val="22"/>
                <w:szCs w:val="22"/>
                <w:lang w:val="en-US"/>
              </w:rPr>
              <w:t>.036</w:t>
            </w:r>
          </w:p>
        </w:tc>
        <w:tc>
          <w:tcPr>
            <w:tcW w:w="707" w:type="pct"/>
            <w:tcBorders>
              <w:bottom w:val="single" w:sz="4" w:space="0" w:color="auto"/>
            </w:tcBorders>
          </w:tcPr>
          <w:p w14:paraId="089C18CF"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3.8596</w:t>
            </w:r>
          </w:p>
        </w:tc>
        <w:tc>
          <w:tcPr>
            <w:tcW w:w="897" w:type="pct"/>
            <w:tcBorders>
              <w:bottom w:val="single" w:sz="4" w:space="0" w:color="auto"/>
            </w:tcBorders>
            <w:noWrap/>
            <w:hideMark/>
          </w:tcPr>
          <w:p w14:paraId="6770770B" w14:textId="77777777" w:rsidR="005B605A" w:rsidRPr="00474548" w:rsidRDefault="005B605A" w:rsidP="008E6F8E">
            <w:pPr>
              <w:jc w:val="center"/>
              <w:rPr>
                <w:rFonts w:eastAsia="Times New Roman"/>
                <w:color w:val="000000"/>
                <w:sz w:val="22"/>
                <w:szCs w:val="22"/>
                <w:lang w:val="en-US"/>
              </w:rPr>
            </w:pPr>
            <w:r w:rsidRPr="00474548">
              <w:rPr>
                <w:color w:val="000000"/>
                <w:sz w:val="22"/>
                <w:szCs w:val="22"/>
                <w:lang w:val="en-US"/>
              </w:rPr>
              <w:t>0.00012</w:t>
            </w:r>
          </w:p>
        </w:tc>
      </w:tr>
      <w:tr w:rsidR="005B605A" w:rsidRPr="00474548" w14:paraId="27FD694D" w14:textId="77777777" w:rsidTr="00AB10E8">
        <w:trPr>
          <w:trHeight w:val="255"/>
        </w:trPr>
        <w:tc>
          <w:tcPr>
            <w:tcW w:w="2521" w:type="pct"/>
            <w:gridSpan w:val="3"/>
            <w:tcBorders>
              <w:top w:val="single" w:sz="4" w:space="0" w:color="auto"/>
            </w:tcBorders>
            <w:noWrap/>
            <w:hideMark/>
          </w:tcPr>
          <w:p w14:paraId="1FC0E66A"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Dependent variable: RIEECOR</w:t>
            </w:r>
          </w:p>
        </w:tc>
        <w:tc>
          <w:tcPr>
            <w:tcW w:w="2479" w:type="pct"/>
            <w:gridSpan w:val="3"/>
            <w:tcBorders>
              <w:top w:val="single" w:sz="4" w:space="0" w:color="auto"/>
            </w:tcBorders>
            <w:noWrap/>
            <w:hideMark/>
          </w:tcPr>
          <w:p w14:paraId="46543837" w14:textId="77777777" w:rsidR="005B605A" w:rsidRPr="00474548" w:rsidRDefault="005B605A" w:rsidP="008E6F8E">
            <w:pPr>
              <w:rPr>
                <w:rFonts w:eastAsia="Times New Roman"/>
                <w:color w:val="000000"/>
                <w:sz w:val="22"/>
                <w:szCs w:val="22"/>
                <w:lang w:val="en-US"/>
              </w:rPr>
            </w:pPr>
            <w:proofErr w:type="spellStart"/>
            <w:r w:rsidRPr="00474548">
              <w:rPr>
                <w:color w:val="000000"/>
                <w:sz w:val="22"/>
                <w:szCs w:val="22"/>
                <w:lang w:val="en-US"/>
              </w:rPr>
              <w:t>Coeff</w:t>
            </w:r>
            <w:proofErr w:type="spellEnd"/>
            <w:r w:rsidRPr="00474548">
              <w:rPr>
                <w:color w:val="000000"/>
                <w:sz w:val="22"/>
                <w:szCs w:val="22"/>
                <w:lang w:val="en-US"/>
              </w:rPr>
              <w:t>. of 1st order autocorrelation = -0.01427</w:t>
            </w:r>
          </w:p>
        </w:tc>
      </w:tr>
      <w:tr w:rsidR="005B605A" w:rsidRPr="00474548" w14:paraId="00A33911" w14:textId="77777777" w:rsidTr="00AB10E8">
        <w:trPr>
          <w:trHeight w:val="255"/>
        </w:trPr>
        <w:tc>
          <w:tcPr>
            <w:tcW w:w="2521" w:type="pct"/>
            <w:gridSpan w:val="3"/>
            <w:noWrap/>
            <w:hideMark/>
          </w:tcPr>
          <w:p w14:paraId="3FBD8836"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Dependent variable average = 0.000644049</w:t>
            </w:r>
          </w:p>
        </w:tc>
        <w:tc>
          <w:tcPr>
            <w:tcW w:w="2479" w:type="pct"/>
            <w:gridSpan w:val="3"/>
            <w:noWrap/>
            <w:hideMark/>
          </w:tcPr>
          <w:p w14:paraId="651F6644"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Likelihood logarithm = 13627.6</w:t>
            </w:r>
          </w:p>
        </w:tc>
      </w:tr>
      <w:tr w:rsidR="005B605A" w:rsidRPr="00474548" w14:paraId="1A7A51D2" w14:textId="77777777" w:rsidTr="00AB10E8">
        <w:trPr>
          <w:trHeight w:val="255"/>
        </w:trPr>
        <w:tc>
          <w:tcPr>
            <w:tcW w:w="2521" w:type="pct"/>
            <w:gridSpan w:val="3"/>
            <w:noWrap/>
            <w:hideMark/>
          </w:tcPr>
          <w:p w14:paraId="10D0E60B"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Dependent variable standard deviation = 0.01936</w:t>
            </w:r>
          </w:p>
        </w:tc>
        <w:tc>
          <w:tcPr>
            <w:tcW w:w="2479" w:type="pct"/>
            <w:gridSpan w:val="3"/>
            <w:noWrap/>
            <w:hideMark/>
          </w:tcPr>
          <w:p w14:paraId="3915F58F" w14:textId="77777777" w:rsidR="005B605A" w:rsidRPr="00474548" w:rsidRDefault="005B605A" w:rsidP="008E6F8E">
            <w:pPr>
              <w:rPr>
                <w:rFonts w:eastAsia="Times New Roman"/>
                <w:color w:val="000000"/>
                <w:sz w:val="22"/>
                <w:szCs w:val="22"/>
                <w:lang w:val="en-US"/>
              </w:rPr>
            </w:pPr>
            <w:proofErr w:type="spellStart"/>
            <w:r w:rsidRPr="00474548">
              <w:rPr>
                <w:color w:val="000000"/>
                <w:sz w:val="22"/>
                <w:szCs w:val="22"/>
                <w:lang w:val="en-US"/>
              </w:rPr>
              <w:t>Akaike</w:t>
            </w:r>
            <w:proofErr w:type="spellEnd"/>
            <w:r w:rsidRPr="00474548">
              <w:rPr>
                <w:color w:val="000000"/>
                <w:sz w:val="22"/>
                <w:szCs w:val="22"/>
                <w:lang w:val="en-US"/>
              </w:rPr>
              <w:t xml:space="preserve"> information criterion = -27249.1</w:t>
            </w:r>
          </w:p>
        </w:tc>
      </w:tr>
      <w:tr w:rsidR="005B605A" w:rsidRPr="00474548" w14:paraId="70350308" w14:textId="77777777" w:rsidTr="00AB10E8">
        <w:trPr>
          <w:trHeight w:val="255"/>
        </w:trPr>
        <w:tc>
          <w:tcPr>
            <w:tcW w:w="2521" w:type="pct"/>
            <w:gridSpan w:val="3"/>
            <w:noWrap/>
            <w:hideMark/>
          </w:tcPr>
          <w:p w14:paraId="61A19F6F"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Sum of square residues = 0.571917</w:t>
            </w:r>
          </w:p>
        </w:tc>
        <w:tc>
          <w:tcPr>
            <w:tcW w:w="2479" w:type="pct"/>
            <w:gridSpan w:val="3"/>
            <w:noWrap/>
            <w:hideMark/>
          </w:tcPr>
          <w:p w14:paraId="106E3D5E"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Schwarz's Bayesian Criterion = -27229.9</w:t>
            </w:r>
          </w:p>
        </w:tc>
      </w:tr>
      <w:tr w:rsidR="005B605A" w:rsidRPr="00474548" w14:paraId="30EE7501" w14:textId="77777777" w:rsidTr="00AB10E8">
        <w:trPr>
          <w:trHeight w:val="255"/>
        </w:trPr>
        <w:tc>
          <w:tcPr>
            <w:tcW w:w="2521" w:type="pct"/>
            <w:gridSpan w:val="3"/>
            <w:noWrap/>
            <w:hideMark/>
          </w:tcPr>
          <w:p w14:paraId="3CC2397A"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Standard error of residues = 0.011338</w:t>
            </w:r>
          </w:p>
        </w:tc>
        <w:tc>
          <w:tcPr>
            <w:tcW w:w="2479" w:type="pct"/>
            <w:gridSpan w:val="3"/>
            <w:noWrap/>
            <w:hideMark/>
          </w:tcPr>
          <w:p w14:paraId="0223C2A2" w14:textId="77777777" w:rsidR="005B605A" w:rsidRPr="00474548" w:rsidRDefault="005B605A" w:rsidP="008E6F8E">
            <w:pPr>
              <w:rPr>
                <w:rFonts w:eastAsia="Times New Roman"/>
                <w:color w:val="000000"/>
                <w:sz w:val="22"/>
                <w:szCs w:val="22"/>
                <w:lang w:val="en-US"/>
              </w:rPr>
            </w:pPr>
            <w:proofErr w:type="spellStart"/>
            <w:r w:rsidRPr="00474548">
              <w:rPr>
                <w:color w:val="000000"/>
                <w:sz w:val="22"/>
                <w:szCs w:val="22"/>
                <w:lang w:val="en-US"/>
              </w:rPr>
              <w:t>Hannan</w:t>
            </w:r>
            <w:proofErr w:type="spellEnd"/>
            <w:r w:rsidRPr="00474548">
              <w:rPr>
                <w:color w:val="000000"/>
                <w:sz w:val="22"/>
                <w:szCs w:val="22"/>
                <w:lang w:val="en-US"/>
              </w:rPr>
              <w:t>-Quinn Criterion = -27242.3</w:t>
            </w:r>
          </w:p>
        </w:tc>
      </w:tr>
      <w:tr w:rsidR="005B605A" w:rsidRPr="00474548" w14:paraId="08146B5E" w14:textId="77777777" w:rsidTr="00AB10E8">
        <w:trPr>
          <w:trHeight w:val="285"/>
        </w:trPr>
        <w:tc>
          <w:tcPr>
            <w:tcW w:w="2521" w:type="pct"/>
            <w:gridSpan w:val="3"/>
            <w:noWrap/>
            <w:hideMark/>
          </w:tcPr>
          <w:p w14:paraId="470B6B07"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R</w:t>
            </w:r>
            <w:r w:rsidRPr="00474548">
              <w:rPr>
                <w:color w:val="000000"/>
                <w:sz w:val="22"/>
                <w:szCs w:val="22"/>
                <w:vertAlign w:val="superscript"/>
                <w:lang w:val="en-US"/>
              </w:rPr>
              <w:t>2</w:t>
            </w:r>
            <w:r w:rsidRPr="00474548">
              <w:rPr>
                <w:color w:val="000000"/>
                <w:sz w:val="22"/>
                <w:szCs w:val="22"/>
                <w:lang w:val="en-US"/>
              </w:rPr>
              <w:t xml:space="preserve"> not adjusted = 0.657383</w:t>
            </w:r>
          </w:p>
        </w:tc>
        <w:tc>
          <w:tcPr>
            <w:tcW w:w="2479" w:type="pct"/>
            <w:gridSpan w:val="3"/>
            <w:noWrap/>
            <w:hideMark/>
          </w:tcPr>
          <w:p w14:paraId="1C15B6D9"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LM test for autocorrelation up to order 5 -</w:t>
            </w:r>
          </w:p>
        </w:tc>
      </w:tr>
      <w:tr w:rsidR="005B605A" w:rsidRPr="00474548" w14:paraId="57E1AC1F" w14:textId="77777777" w:rsidTr="00AB10E8">
        <w:trPr>
          <w:trHeight w:val="285"/>
        </w:trPr>
        <w:tc>
          <w:tcPr>
            <w:tcW w:w="2521" w:type="pct"/>
            <w:gridSpan w:val="3"/>
            <w:noWrap/>
            <w:hideMark/>
          </w:tcPr>
          <w:p w14:paraId="1267A209"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R</w:t>
            </w:r>
            <w:r w:rsidRPr="00474548">
              <w:rPr>
                <w:color w:val="000000"/>
                <w:sz w:val="22"/>
                <w:szCs w:val="22"/>
                <w:vertAlign w:val="superscript"/>
                <w:lang w:val="en-US"/>
              </w:rPr>
              <w:t>2</w:t>
            </w:r>
            <w:r w:rsidRPr="00474548">
              <w:rPr>
                <w:color w:val="000000"/>
                <w:sz w:val="22"/>
                <w:szCs w:val="22"/>
                <w:lang w:val="en-US"/>
              </w:rPr>
              <w:t xml:space="preserve"> adjusted = 0.657229</w:t>
            </w:r>
          </w:p>
        </w:tc>
        <w:tc>
          <w:tcPr>
            <w:tcW w:w="2479" w:type="pct"/>
            <w:gridSpan w:val="3"/>
            <w:noWrap/>
            <w:hideMark/>
          </w:tcPr>
          <w:p w14:paraId="2CBFDF2E" w14:textId="1ADF31A3" w:rsidR="005B605A" w:rsidRPr="00474548" w:rsidRDefault="005B605A" w:rsidP="008E6F8E">
            <w:pPr>
              <w:rPr>
                <w:rFonts w:eastAsia="Times New Roman"/>
                <w:color w:val="000000"/>
                <w:sz w:val="22"/>
                <w:szCs w:val="22"/>
                <w:lang w:val="en-US"/>
              </w:rPr>
            </w:pPr>
            <w:r w:rsidRPr="00474548">
              <w:rPr>
                <w:color w:val="000000"/>
                <w:sz w:val="22"/>
                <w:szCs w:val="22"/>
                <w:lang w:val="en-US"/>
              </w:rPr>
              <w:t>Null hypotheses: without autocorrelation</w:t>
            </w:r>
          </w:p>
        </w:tc>
      </w:tr>
      <w:tr w:rsidR="005B605A" w:rsidRPr="00474548" w14:paraId="60C1915C" w14:textId="77777777" w:rsidTr="00AB10E8">
        <w:trPr>
          <w:trHeight w:val="255"/>
        </w:trPr>
        <w:tc>
          <w:tcPr>
            <w:tcW w:w="2521" w:type="pct"/>
            <w:gridSpan w:val="3"/>
            <w:noWrap/>
            <w:hideMark/>
          </w:tcPr>
          <w:p w14:paraId="0794F4E3" w14:textId="3703EFB3" w:rsidR="005B605A" w:rsidRPr="00474548" w:rsidRDefault="005B605A" w:rsidP="008E6F8E">
            <w:pPr>
              <w:rPr>
                <w:rFonts w:eastAsia="Times New Roman"/>
                <w:color w:val="000000"/>
                <w:sz w:val="22"/>
                <w:szCs w:val="22"/>
                <w:lang w:val="en-US"/>
              </w:rPr>
            </w:pPr>
            <w:r w:rsidRPr="00474548">
              <w:rPr>
                <w:color w:val="000000"/>
                <w:sz w:val="22"/>
                <w:szCs w:val="22"/>
                <w:lang w:val="en-US"/>
              </w:rPr>
              <w:t>Statistics-F (2, 44) = 4268</w:t>
            </w:r>
            <w:r w:rsidR="00A8308C" w:rsidRPr="00474548">
              <w:rPr>
                <w:color w:val="000000"/>
                <w:sz w:val="22"/>
                <w:szCs w:val="22"/>
                <w:lang w:val="en-US"/>
              </w:rPr>
              <w:t>.</w:t>
            </w:r>
            <w:r w:rsidRPr="00474548">
              <w:rPr>
                <w:color w:val="000000"/>
                <w:sz w:val="22"/>
                <w:szCs w:val="22"/>
                <w:lang w:val="en-US"/>
              </w:rPr>
              <w:t>17 (p-value &lt; 0</w:t>
            </w:r>
            <w:r w:rsidR="00A8308C" w:rsidRPr="00474548">
              <w:rPr>
                <w:color w:val="000000"/>
                <w:sz w:val="22"/>
                <w:szCs w:val="22"/>
                <w:lang w:val="en-US"/>
              </w:rPr>
              <w:t>.</w:t>
            </w:r>
            <w:r w:rsidRPr="00474548">
              <w:rPr>
                <w:color w:val="000000"/>
                <w:sz w:val="22"/>
                <w:szCs w:val="22"/>
                <w:lang w:val="en-US"/>
              </w:rPr>
              <w:t>000)</w:t>
            </w:r>
          </w:p>
        </w:tc>
        <w:tc>
          <w:tcPr>
            <w:tcW w:w="2479" w:type="pct"/>
            <w:gridSpan w:val="3"/>
            <w:noWrap/>
            <w:hideMark/>
          </w:tcPr>
          <w:p w14:paraId="788350D9"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 xml:space="preserve"> Test statistics: LMF = 1.32494</w:t>
            </w:r>
          </w:p>
        </w:tc>
      </w:tr>
      <w:tr w:rsidR="005B605A" w:rsidRPr="00474548" w14:paraId="73C0A6C5" w14:textId="77777777" w:rsidTr="00AB10E8">
        <w:trPr>
          <w:trHeight w:val="255"/>
        </w:trPr>
        <w:tc>
          <w:tcPr>
            <w:tcW w:w="2521" w:type="pct"/>
            <w:gridSpan w:val="3"/>
            <w:tcBorders>
              <w:bottom w:val="single" w:sz="4" w:space="0" w:color="auto"/>
            </w:tcBorders>
            <w:noWrap/>
            <w:hideMark/>
          </w:tcPr>
          <w:p w14:paraId="7CF2726D"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Durbin-Watson Statistics = 2.02845</w:t>
            </w:r>
          </w:p>
        </w:tc>
        <w:tc>
          <w:tcPr>
            <w:tcW w:w="2479" w:type="pct"/>
            <w:gridSpan w:val="3"/>
            <w:tcBorders>
              <w:bottom w:val="single" w:sz="4" w:space="0" w:color="auto"/>
            </w:tcBorders>
            <w:noWrap/>
            <w:hideMark/>
          </w:tcPr>
          <w:p w14:paraId="7C1CB109" w14:textId="77777777" w:rsidR="005B605A" w:rsidRPr="00474548" w:rsidRDefault="005B605A" w:rsidP="008E6F8E">
            <w:pPr>
              <w:rPr>
                <w:rFonts w:eastAsia="Times New Roman"/>
                <w:color w:val="000000"/>
                <w:sz w:val="22"/>
                <w:szCs w:val="22"/>
                <w:lang w:val="en-US"/>
              </w:rPr>
            </w:pPr>
            <w:r w:rsidRPr="00474548">
              <w:rPr>
                <w:color w:val="000000"/>
                <w:sz w:val="22"/>
                <w:szCs w:val="22"/>
                <w:lang w:val="en-US"/>
              </w:rPr>
              <w:t xml:space="preserve"> with p-value = P(F(5.4439) &gt; 1.32494) = 0.250304</w:t>
            </w:r>
          </w:p>
        </w:tc>
      </w:tr>
    </w:tbl>
    <w:p w14:paraId="3D621E63" w14:textId="4685E93C" w:rsidR="005B605A" w:rsidRPr="00474548" w:rsidRDefault="005B605A" w:rsidP="000F7154">
      <w:pPr>
        <w:autoSpaceDE w:val="0"/>
        <w:autoSpaceDN w:val="0"/>
        <w:adjustRightInd w:val="0"/>
        <w:jc w:val="both"/>
        <w:rPr>
          <w:sz w:val="22"/>
          <w:szCs w:val="22"/>
          <w:lang w:val="en-US"/>
        </w:rPr>
      </w:pPr>
    </w:p>
    <w:p w14:paraId="78348E88" w14:textId="77777777" w:rsidR="005B605A" w:rsidRPr="00474548" w:rsidRDefault="005B605A" w:rsidP="008E6F8E">
      <w:pPr>
        <w:autoSpaceDE w:val="0"/>
        <w:autoSpaceDN w:val="0"/>
        <w:adjustRightInd w:val="0"/>
        <w:rPr>
          <w:sz w:val="22"/>
          <w:szCs w:val="22"/>
          <w:lang w:val="en-US"/>
        </w:rPr>
      </w:pPr>
    </w:p>
    <w:p w14:paraId="134CFE0E" w14:textId="4A4C8365" w:rsidR="005B605A" w:rsidRPr="00474548" w:rsidRDefault="005B605A" w:rsidP="008E6F8E">
      <w:pPr>
        <w:pStyle w:val="Subtitle"/>
        <w:rPr>
          <w:rFonts w:ascii="Times New Roman" w:hAnsi="Times New Roman"/>
          <w:sz w:val="22"/>
          <w:szCs w:val="22"/>
          <w:lang w:val="en-US"/>
        </w:rPr>
      </w:pPr>
      <w:bookmarkStart w:id="20" w:name="_Toc391473724"/>
      <w:r w:rsidRPr="00474548">
        <w:rPr>
          <w:rFonts w:ascii="Times New Roman" w:hAnsi="Times New Roman"/>
          <w:sz w:val="22"/>
          <w:szCs w:val="22"/>
          <w:lang w:val="en-US"/>
        </w:rPr>
        <w:t>4.4.2</w:t>
      </w:r>
      <w:r w:rsidRPr="00474548">
        <w:rPr>
          <w:rFonts w:ascii="Times New Roman" w:hAnsi="Times New Roman"/>
          <w:i/>
          <w:sz w:val="22"/>
          <w:szCs w:val="22"/>
          <w:lang w:val="en-US"/>
        </w:rPr>
        <w:t xml:space="preserve"> Single dummy for Other Significant </w:t>
      </w:r>
      <w:r w:rsidR="00C4152F" w:rsidRPr="00474548">
        <w:rPr>
          <w:rFonts w:ascii="Times New Roman" w:hAnsi="Times New Roman"/>
          <w:i/>
          <w:sz w:val="22"/>
          <w:szCs w:val="22"/>
          <w:lang w:val="en-US"/>
        </w:rPr>
        <w:t>RC</w:t>
      </w:r>
      <w:r w:rsidR="009F2C79" w:rsidRPr="00474548">
        <w:rPr>
          <w:rFonts w:ascii="Times New Roman" w:hAnsi="Times New Roman"/>
          <w:i/>
          <w:sz w:val="22"/>
          <w:szCs w:val="22"/>
          <w:lang w:val="en-US"/>
        </w:rPr>
        <w:t xml:space="preserve"> </w:t>
      </w:r>
      <w:r w:rsidRPr="00474548">
        <w:rPr>
          <w:rFonts w:ascii="Times New Roman" w:hAnsi="Times New Roman"/>
          <w:i/>
          <w:sz w:val="22"/>
          <w:szCs w:val="22"/>
          <w:lang w:val="en-US"/>
        </w:rPr>
        <w:t>Events</w:t>
      </w:r>
      <w:bookmarkEnd w:id="20"/>
    </w:p>
    <w:p w14:paraId="0EC8FC22" w14:textId="19EC4BAB" w:rsidR="001809F1" w:rsidRPr="00474548" w:rsidRDefault="005B605A" w:rsidP="001809F1">
      <w:pPr>
        <w:autoSpaceDE w:val="0"/>
        <w:autoSpaceDN w:val="0"/>
        <w:adjustRightInd w:val="0"/>
        <w:ind w:firstLine="720"/>
        <w:jc w:val="both"/>
        <w:rPr>
          <w:sz w:val="22"/>
          <w:szCs w:val="22"/>
          <w:lang w:val="en-US"/>
        </w:rPr>
      </w:pPr>
      <w:r w:rsidRPr="00474548">
        <w:rPr>
          <w:i/>
          <w:sz w:val="22"/>
          <w:szCs w:val="22"/>
          <w:lang w:val="en-US"/>
        </w:rPr>
        <w:t>Dummy</w:t>
      </w:r>
      <w:r w:rsidRPr="00474548">
        <w:rPr>
          <w:sz w:val="22"/>
          <w:szCs w:val="22"/>
          <w:lang w:val="en-US"/>
        </w:rPr>
        <w:t xml:space="preserve"> variable included in the regression on </w:t>
      </w:r>
      <w:r w:rsidR="001C7A79" w:rsidRPr="00474548">
        <w:rPr>
          <w:sz w:val="22"/>
          <w:szCs w:val="22"/>
          <w:lang w:val="en-US"/>
        </w:rPr>
        <w:t>the O</w:t>
      </w:r>
      <w:r w:rsidRPr="00474548">
        <w:rPr>
          <w:sz w:val="22"/>
          <w:szCs w:val="22"/>
          <w:lang w:val="en-US"/>
        </w:rPr>
        <w:t xml:space="preserve">ther </w:t>
      </w:r>
      <w:r w:rsidR="001C7A79" w:rsidRPr="00474548">
        <w:rPr>
          <w:sz w:val="22"/>
          <w:szCs w:val="22"/>
          <w:lang w:val="en-US"/>
        </w:rPr>
        <w:t>S</w:t>
      </w:r>
      <w:r w:rsidRPr="00474548">
        <w:rPr>
          <w:sz w:val="22"/>
          <w:szCs w:val="22"/>
          <w:lang w:val="en-US"/>
        </w:rPr>
        <w:t xml:space="preserve">ignificant </w:t>
      </w:r>
      <w:r w:rsidR="001C7A79" w:rsidRPr="00474548">
        <w:rPr>
          <w:sz w:val="22"/>
          <w:szCs w:val="22"/>
          <w:lang w:val="en-US"/>
        </w:rPr>
        <w:t>E</w:t>
      </w:r>
      <w:r w:rsidRPr="00474548">
        <w:rPr>
          <w:sz w:val="22"/>
          <w:szCs w:val="22"/>
          <w:lang w:val="en-US"/>
        </w:rPr>
        <w:t xml:space="preserve">vents family comprises thirteen regulatory events captured in ten Markov Regime Changes. The results are shown </w:t>
      </w:r>
      <w:r w:rsidR="00A11F4D" w:rsidRPr="00474548">
        <w:rPr>
          <w:sz w:val="22"/>
          <w:szCs w:val="22"/>
          <w:lang w:val="en-US"/>
        </w:rPr>
        <w:t>in</w:t>
      </w:r>
      <w:r w:rsidR="008E78EC" w:rsidRPr="00474548">
        <w:rPr>
          <w:sz w:val="22"/>
          <w:szCs w:val="22"/>
          <w:lang w:val="en-US"/>
        </w:rPr>
        <w:t xml:space="preserve"> Table 5</w:t>
      </w:r>
      <w:r w:rsidRPr="00474548">
        <w:rPr>
          <w:sz w:val="22"/>
          <w:szCs w:val="22"/>
          <w:lang w:val="en-US"/>
        </w:rPr>
        <w:t>.</w:t>
      </w:r>
      <w:r w:rsidR="001809F1" w:rsidRPr="00474548">
        <w:rPr>
          <w:sz w:val="22"/>
          <w:szCs w:val="22"/>
          <w:lang w:val="en-US"/>
        </w:rPr>
        <w:t xml:space="preserve"> In Table 5, the variables included in the regression explain up to 66% returns of the shares comprising the IEE. The standardized beta coefficient, representing the risks for the stocks comprising the IEE, presents a variation of 0.80 or 80% compared to the market risk. The </w:t>
      </w:r>
      <w:r w:rsidR="001809F1" w:rsidRPr="00474548">
        <w:rPr>
          <w:i/>
          <w:sz w:val="22"/>
          <w:szCs w:val="22"/>
          <w:lang w:val="en-US"/>
        </w:rPr>
        <w:t>dummy</w:t>
      </w:r>
      <w:r w:rsidR="001809F1" w:rsidRPr="00474548">
        <w:rPr>
          <w:sz w:val="22"/>
          <w:szCs w:val="22"/>
          <w:lang w:val="en-US"/>
        </w:rPr>
        <w:t xml:space="preserve"> variable, indicative of the regulatory risk for the Other Significant Events family, is significant with an impact of 3.2% on the stock risks comprising the IEE.</w:t>
      </w:r>
    </w:p>
    <w:p w14:paraId="6D9DAE5A" w14:textId="77777777" w:rsidR="001809F1" w:rsidRPr="00474548" w:rsidRDefault="001809F1" w:rsidP="000F7154">
      <w:pPr>
        <w:autoSpaceDE w:val="0"/>
        <w:autoSpaceDN w:val="0"/>
        <w:adjustRightInd w:val="0"/>
        <w:jc w:val="both"/>
        <w:rPr>
          <w:sz w:val="22"/>
          <w:szCs w:val="22"/>
          <w:lang w:val="en-US"/>
        </w:rPr>
      </w:pPr>
    </w:p>
    <w:p w14:paraId="76881133" w14:textId="77777777" w:rsidR="000F7154" w:rsidRPr="00474548" w:rsidRDefault="000F7154" w:rsidP="000F7154">
      <w:pPr>
        <w:autoSpaceDE w:val="0"/>
        <w:autoSpaceDN w:val="0"/>
        <w:adjustRightInd w:val="0"/>
        <w:jc w:val="both"/>
        <w:rPr>
          <w:sz w:val="22"/>
          <w:szCs w:val="22"/>
          <w:lang w:val="en-US"/>
        </w:rPr>
      </w:pPr>
    </w:p>
    <w:p w14:paraId="789EE2FE" w14:textId="61D1DC67" w:rsidR="005B605A" w:rsidRPr="00474548" w:rsidRDefault="009F49FD" w:rsidP="008E6F8E">
      <w:pPr>
        <w:pStyle w:val="Caption"/>
        <w:spacing w:after="0"/>
        <w:rPr>
          <w:b w:val="0"/>
          <w:color w:val="auto"/>
          <w:sz w:val="22"/>
          <w:szCs w:val="22"/>
          <w:lang w:val="en-US"/>
        </w:rPr>
      </w:pPr>
      <w:bookmarkStart w:id="21" w:name="_Toc391499587"/>
      <w:r w:rsidRPr="00474548">
        <w:rPr>
          <w:b w:val="0"/>
          <w:color w:val="auto"/>
          <w:sz w:val="22"/>
          <w:szCs w:val="22"/>
          <w:lang w:val="en-US"/>
        </w:rPr>
        <w:t>Table 5</w:t>
      </w:r>
      <w:r w:rsidR="005B605A" w:rsidRPr="00474548">
        <w:rPr>
          <w:b w:val="0"/>
          <w:color w:val="auto"/>
          <w:sz w:val="22"/>
          <w:szCs w:val="22"/>
          <w:lang w:val="en-US"/>
        </w:rPr>
        <w:t xml:space="preserve"> - Single </w:t>
      </w:r>
      <w:r w:rsidR="005B605A" w:rsidRPr="00474548">
        <w:rPr>
          <w:b w:val="0"/>
          <w:i/>
          <w:color w:val="auto"/>
          <w:sz w:val="22"/>
          <w:szCs w:val="22"/>
          <w:lang w:val="en-US"/>
        </w:rPr>
        <w:t>dummy</w:t>
      </w:r>
      <w:r w:rsidR="005B605A" w:rsidRPr="00474548">
        <w:rPr>
          <w:b w:val="0"/>
          <w:color w:val="auto"/>
          <w:sz w:val="22"/>
          <w:szCs w:val="22"/>
          <w:lang w:val="en-US"/>
        </w:rPr>
        <w:t xml:space="preserve">: Other Significant </w:t>
      </w:r>
      <w:r w:rsidR="00C4152F" w:rsidRPr="00474548">
        <w:rPr>
          <w:b w:val="0"/>
          <w:color w:val="auto"/>
          <w:sz w:val="22"/>
          <w:szCs w:val="22"/>
          <w:lang w:val="en-US"/>
        </w:rPr>
        <w:t>RC</w:t>
      </w:r>
      <w:r w:rsidR="009F2C79" w:rsidRPr="00474548">
        <w:rPr>
          <w:b w:val="0"/>
          <w:color w:val="auto"/>
          <w:sz w:val="22"/>
          <w:szCs w:val="22"/>
          <w:lang w:val="en-US"/>
        </w:rPr>
        <w:t xml:space="preserve"> </w:t>
      </w:r>
      <w:r w:rsidR="005B605A" w:rsidRPr="00474548">
        <w:rPr>
          <w:b w:val="0"/>
          <w:color w:val="auto"/>
          <w:sz w:val="22"/>
          <w:szCs w:val="22"/>
          <w:lang w:val="en-US"/>
        </w:rPr>
        <w:t>Events family</w:t>
      </w:r>
      <w:bookmarkEnd w:id="21"/>
    </w:p>
    <w:tbl>
      <w:tblPr>
        <w:tblW w:w="9320" w:type="dxa"/>
        <w:tblInd w:w="55" w:type="dxa"/>
        <w:tblCellMar>
          <w:left w:w="70" w:type="dxa"/>
          <w:right w:w="70" w:type="dxa"/>
        </w:tblCellMar>
        <w:tblLook w:val="04A0" w:firstRow="1" w:lastRow="0" w:firstColumn="1" w:lastColumn="0" w:noHBand="0" w:noVBand="1"/>
      </w:tblPr>
      <w:tblGrid>
        <w:gridCol w:w="2080"/>
        <w:gridCol w:w="1220"/>
        <w:gridCol w:w="1308"/>
        <w:gridCol w:w="1474"/>
        <w:gridCol w:w="170"/>
        <w:gridCol w:w="1276"/>
        <w:gridCol w:w="1792"/>
      </w:tblGrid>
      <w:tr w:rsidR="005B605A" w:rsidRPr="00474548" w14:paraId="19860C59" w14:textId="77777777" w:rsidTr="00AB10E8">
        <w:trPr>
          <w:trHeight w:val="335"/>
        </w:trPr>
        <w:tc>
          <w:tcPr>
            <w:tcW w:w="2080" w:type="dxa"/>
            <w:tcBorders>
              <w:top w:val="single" w:sz="4" w:space="0" w:color="auto"/>
              <w:left w:val="nil"/>
              <w:bottom w:val="single" w:sz="4" w:space="0" w:color="auto"/>
              <w:right w:val="nil"/>
            </w:tcBorders>
            <w:shd w:val="clear" w:color="000000" w:fill="D9D9D9"/>
            <w:vAlign w:val="center"/>
            <w:hideMark/>
          </w:tcPr>
          <w:p w14:paraId="027711C1"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Variable</w:t>
            </w:r>
          </w:p>
        </w:tc>
        <w:tc>
          <w:tcPr>
            <w:tcW w:w="1220" w:type="dxa"/>
            <w:tcBorders>
              <w:top w:val="single" w:sz="4" w:space="0" w:color="auto"/>
              <w:left w:val="nil"/>
              <w:bottom w:val="single" w:sz="4" w:space="0" w:color="auto"/>
            </w:tcBorders>
            <w:shd w:val="clear" w:color="000000" w:fill="D9D9D9"/>
            <w:vAlign w:val="center"/>
            <w:hideMark/>
          </w:tcPr>
          <w:p w14:paraId="2CF0C6BF"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Coefficient</w:t>
            </w:r>
          </w:p>
        </w:tc>
        <w:tc>
          <w:tcPr>
            <w:tcW w:w="1308" w:type="dxa"/>
            <w:tcBorders>
              <w:top w:val="single" w:sz="4" w:space="0" w:color="auto"/>
              <w:bottom w:val="single" w:sz="4" w:space="0" w:color="auto"/>
            </w:tcBorders>
            <w:shd w:val="clear" w:color="000000" w:fill="D9D9D9"/>
            <w:vAlign w:val="center"/>
            <w:hideMark/>
          </w:tcPr>
          <w:p w14:paraId="2C05589E"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Standard Error</w:t>
            </w:r>
          </w:p>
        </w:tc>
        <w:tc>
          <w:tcPr>
            <w:tcW w:w="1644" w:type="dxa"/>
            <w:gridSpan w:val="2"/>
            <w:tcBorders>
              <w:top w:val="single" w:sz="4" w:space="0" w:color="auto"/>
              <w:bottom w:val="single" w:sz="4" w:space="0" w:color="auto"/>
            </w:tcBorders>
            <w:shd w:val="clear" w:color="000000" w:fill="D9D9D9"/>
            <w:vAlign w:val="center"/>
            <w:hideMark/>
          </w:tcPr>
          <w:p w14:paraId="64257DF6" w14:textId="71948FFD" w:rsidR="005B605A" w:rsidRPr="00474548" w:rsidRDefault="00A8308C" w:rsidP="008E6F8E">
            <w:pPr>
              <w:jc w:val="center"/>
              <w:rPr>
                <w:rFonts w:eastAsia="Times New Roman"/>
                <w:i/>
                <w:iCs/>
                <w:color w:val="000000"/>
                <w:sz w:val="20"/>
                <w:szCs w:val="20"/>
                <w:lang w:val="en-US"/>
              </w:rPr>
            </w:pPr>
            <w:r w:rsidRPr="00474548">
              <w:rPr>
                <w:color w:val="000000"/>
                <w:kern w:val="0"/>
                <w:sz w:val="20"/>
                <w:szCs w:val="20"/>
                <w:lang w:val="en-US"/>
              </w:rPr>
              <w:t>Standardized Beta</w:t>
            </w:r>
          </w:p>
        </w:tc>
        <w:tc>
          <w:tcPr>
            <w:tcW w:w="1276" w:type="dxa"/>
            <w:tcBorders>
              <w:top w:val="single" w:sz="4" w:space="0" w:color="auto"/>
              <w:left w:val="nil"/>
              <w:bottom w:val="single" w:sz="4" w:space="0" w:color="auto"/>
              <w:right w:val="nil"/>
            </w:tcBorders>
            <w:shd w:val="clear" w:color="000000" w:fill="D9D9D9"/>
            <w:vAlign w:val="center"/>
          </w:tcPr>
          <w:p w14:paraId="0D5E3B09" w14:textId="3EB2EAAA" w:rsidR="005B605A" w:rsidRPr="00474548" w:rsidRDefault="00B11596" w:rsidP="008E6F8E">
            <w:pPr>
              <w:jc w:val="center"/>
              <w:rPr>
                <w:rFonts w:eastAsia="Times New Roman"/>
                <w:i/>
                <w:iCs/>
                <w:color w:val="000000"/>
                <w:sz w:val="20"/>
                <w:szCs w:val="20"/>
                <w:lang w:val="en-US"/>
              </w:rPr>
            </w:pPr>
            <w:proofErr w:type="gramStart"/>
            <w:r w:rsidRPr="00474548">
              <w:rPr>
                <w:i/>
                <w:color w:val="000000"/>
                <w:sz w:val="20"/>
                <w:szCs w:val="20"/>
                <w:lang w:val="en-US"/>
              </w:rPr>
              <w:t>t</w:t>
            </w:r>
            <w:proofErr w:type="gramEnd"/>
            <w:r w:rsidRPr="00474548">
              <w:rPr>
                <w:i/>
                <w:color w:val="000000"/>
                <w:sz w:val="20"/>
                <w:szCs w:val="20"/>
                <w:lang w:val="en-US"/>
              </w:rPr>
              <w:t>-</w:t>
            </w:r>
            <w:r w:rsidR="005B605A" w:rsidRPr="00474548">
              <w:rPr>
                <w:i/>
                <w:color w:val="000000"/>
                <w:sz w:val="20"/>
                <w:szCs w:val="20"/>
                <w:lang w:val="en-US"/>
              </w:rPr>
              <w:t>statistics</w:t>
            </w:r>
          </w:p>
        </w:tc>
        <w:tc>
          <w:tcPr>
            <w:tcW w:w="1792" w:type="dxa"/>
            <w:tcBorders>
              <w:top w:val="single" w:sz="4" w:space="0" w:color="auto"/>
              <w:left w:val="nil"/>
              <w:bottom w:val="single" w:sz="4" w:space="0" w:color="auto"/>
              <w:right w:val="nil"/>
            </w:tcBorders>
            <w:shd w:val="clear" w:color="000000" w:fill="D9D9D9"/>
            <w:vAlign w:val="center"/>
            <w:hideMark/>
          </w:tcPr>
          <w:p w14:paraId="730B74A0" w14:textId="77777777" w:rsidR="005B605A" w:rsidRPr="00474548" w:rsidRDefault="005B605A" w:rsidP="008E6F8E">
            <w:pPr>
              <w:jc w:val="center"/>
              <w:rPr>
                <w:rFonts w:eastAsia="Times New Roman"/>
                <w:i/>
                <w:iCs/>
                <w:color w:val="000000"/>
                <w:sz w:val="20"/>
                <w:szCs w:val="20"/>
                <w:lang w:val="en-US"/>
              </w:rPr>
            </w:pPr>
            <w:proofErr w:type="gramStart"/>
            <w:r w:rsidRPr="00474548">
              <w:rPr>
                <w:i/>
                <w:color w:val="000000"/>
                <w:sz w:val="20"/>
                <w:szCs w:val="20"/>
                <w:lang w:val="en-US"/>
              </w:rPr>
              <w:t>p</w:t>
            </w:r>
            <w:proofErr w:type="gramEnd"/>
            <w:r w:rsidRPr="00474548">
              <w:rPr>
                <w:i/>
                <w:color w:val="000000"/>
                <w:sz w:val="20"/>
                <w:szCs w:val="20"/>
                <w:lang w:val="en-US"/>
              </w:rPr>
              <w:t>-value</w:t>
            </w:r>
          </w:p>
        </w:tc>
      </w:tr>
      <w:tr w:rsidR="005B605A" w:rsidRPr="00474548" w14:paraId="0FAF38E9" w14:textId="77777777" w:rsidTr="00AB10E8">
        <w:trPr>
          <w:trHeight w:val="283"/>
        </w:trPr>
        <w:tc>
          <w:tcPr>
            <w:tcW w:w="2080" w:type="dxa"/>
            <w:tcBorders>
              <w:top w:val="nil"/>
              <w:left w:val="nil"/>
              <w:bottom w:val="nil"/>
              <w:right w:val="nil"/>
            </w:tcBorders>
            <w:shd w:val="clear" w:color="auto" w:fill="auto"/>
            <w:vAlign w:val="center"/>
            <w:hideMark/>
          </w:tcPr>
          <w:p w14:paraId="46946D4D"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Const.</w:t>
            </w:r>
          </w:p>
        </w:tc>
        <w:tc>
          <w:tcPr>
            <w:tcW w:w="1220" w:type="dxa"/>
            <w:tcBorders>
              <w:top w:val="nil"/>
              <w:left w:val="nil"/>
              <w:bottom w:val="nil"/>
            </w:tcBorders>
            <w:shd w:val="clear" w:color="auto" w:fill="auto"/>
            <w:vAlign w:val="center"/>
            <w:hideMark/>
          </w:tcPr>
          <w:p w14:paraId="4731FAF0"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0.000206</w:t>
            </w:r>
          </w:p>
        </w:tc>
        <w:tc>
          <w:tcPr>
            <w:tcW w:w="1308" w:type="dxa"/>
            <w:tcBorders>
              <w:top w:val="single" w:sz="4" w:space="0" w:color="auto"/>
            </w:tcBorders>
            <w:shd w:val="clear" w:color="auto" w:fill="auto"/>
            <w:vAlign w:val="center"/>
            <w:hideMark/>
          </w:tcPr>
          <w:p w14:paraId="6374AC7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0.0001700</w:t>
            </w:r>
          </w:p>
        </w:tc>
        <w:tc>
          <w:tcPr>
            <w:tcW w:w="1474" w:type="dxa"/>
            <w:tcBorders>
              <w:top w:val="single" w:sz="4" w:space="0" w:color="auto"/>
            </w:tcBorders>
            <w:shd w:val="clear" w:color="auto" w:fill="auto"/>
            <w:hideMark/>
          </w:tcPr>
          <w:p w14:paraId="0E0944EC"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 </w:t>
            </w:r>
          </w:p>
        </w:tc>
        <w:tc>
          <w:tcPr>
            <w:tcW w:w="1446" w:type="dxa"/>
            <w:gridSpan w:val="2"/>
            <w:tcBorders>
              <w:top w:val="nil"/>
              <w:left w:val="nil"/>
              <w:bottom w:val="nil"/>
              <w:right w:val="nil"/>
            </w:tcBorders>
            <w:shd w:val="clear" w:color="auto" w:fill="auto"/>
            <w:vAlign w:val="center"/>
          </w:tcPr>
          <w:p w14:paraId="14A5D699"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1.2147</w:t>
            </w:r>
          </w:p>
        </w:tc>
        <w:tc>
          <w:tcPr>
            <w:tcW w:w="1792" w:type="dxa"/>
            <w:tcBorders>
              <w:top w:val="nil"/>
              <w:left w:val="nil"/>
              <w:bottom w:val="nil"/>
              <w:right w:val="nil"/>
            </w:tcBorders>
            <w:shd w:val="clear" w:color="auto" w:fill="auto"/>
            <w:vAlign w:val="center"/>
            <w:hideMark/>
          </w:tcPr>
          <w:p w14:paraId="39265C49"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0.22454</w:t>
            </w:r>
          </w:p>
        </w:tc>
      </w:tr>
      <w:tr w:rsidR="005B605A" w:rsidRPr="00474548" w14:paraId="36620CC5" w14:textId="77777777" w:rsidTr="00AB10E8">
        <w:trPr>
          <w:trHeight w:val="142"/>
        </w:trPr>
        <w:tc>
          <w:tcPr>
            <w:tcW w:w="2080" w:type="dxa"/>
            <w:tcBorders>
              <w:top w:val="nil"/>
              <w:left w:val="nil"/>
              <w:bottom w:val="nil"/>
              <w:right w:val="nil"/>
            </w:tcBorders>
            <w:shd w:val="clear" w:color="auto" w:fill="auto"/>
            <w:vAlign w:val="center"/>
            <w:hideMark/>
          </w:tcPr>
          <w:p w14:paraId="5026F4B2"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RIBOVCORR</w:t>
            </w:r>
          </w:p>
        </w:tc>
        <w:tc>
          <w:tcPr>
            <w:tcW w:w="1220" w:type="dxa"/>
            <w:tcBorders>
              <w:top w:val="nil"/>
              <w:left w:val="nil"/>
              <w:bottom w:val="nil"/>
            </w:tcBorders>
            <w:shd w:val="clear" w:color="auto" w:fill="auto"/>
            <w:vAlign w:val="center"/>
            <w:hideMark/>
          </w:tcPr>
          <w:p w14:paraId="01863765"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0.700791</w:t>
            </w:r>
          </w:p>
        </w:tc>
        <w:tc>
          <w:tcPr>
            <w:tcW w:w="1308" w:type="dxa"/>
            <w:shd w:val="clear" w:color="auto" w:fill="auto"/>
            <w:vAlign w:val="center"/>
            <w:hideMark/>
          </w:tcPr>
          <w:p w14:paraId="1507D24B"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0.0081224</w:t>
            </w:r>
          </w:p>
        </w:tc>
        <w:tc>
          <w:tcPr>
            <w:tcW w:w="1474" w:type="dxa"/>
            <w:shd w:val="clear" w:color="auto" w:fill="auto"/>
            <w:hideMark/>
          </w:tcPr>
          <w:p w14:paraId="681B4E5A"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0.800</w:t>
            </w:r>
          </w:p>
        </w:tc>
        <w:tc>
          <w:tcPr>
            <w:tcW w:w="1446" w:type="dxa"/>
            <w:gridSpan w:val="2"/>
            <w:tcBorders>
              <w:top w:val="nil"/>
              <w:left w:val="nil"/>
              <w:bottom w:val="nil"/>
              <w:right w:val="nil"/>
            </w:tcBorders>
            <w:shd w:val="clear" w:color="auto" w:fill="auto"/>
            <w:vAlign w:val="center"/>
          </w:tcPr>
          <w:p w14:paraId="7A99C67E"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86.2787</w:t>
            </w:r>
          </w:p>
        </w:tc>
        <w:tc>
          <w:tcPr>
            <w:tcW w:w="1792" w:type="dxa"/>
            <w:tcBorders>
              <w:top w:val="nil"/>
              <w:left w:val="nil"/>
              <w:bottom w:val="nil"/>
              <w:right w:val="nil"/>
            </w:tcBorders>
            <w:shd w:val="clear" w:color="auto" w:fill="auto"/>
            <w:vAlign w:val="center"/>
            <w:hideMark/>
          </w:tcPr>
          <w:p w14:paraId="7860D897" w14:textId="0AA09E8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&lt;0.00001</w:t>
            </w:r>
          </w:p>
        </w:tc>
      </w:tr>
      <w:tr w:rsidR="005B605A" w:rsidRPr="00474548" w14:paraId="6941D566" w14:textId="77777777" w:rsidTr="00AB10E8">
        <w:trPr>
          <w:trHeight w:val="80"/>
        </w:trPr>
        <w:tc>
          <w:tcPr>
            <w:tcW w:w="2080" w:type="dxa"/>
            <w:tcBorders>
              <w:top w:val="nil"/>
              <w:left w:val="nil"/>
              <w:bottom w:val="nil"/>
              <w:right w:val="nil"/>
            </w:tcBorders>
            <w:shd w:val="clear" w:color="auto" w:fill="auto"/>
            <w:noWrap/>
            <w:vAlign w:val="center"/>
            <w:hideMark/>
          </w:tcPr>
          <w:p w14:paraId="6A90BB67" w14:textId="77777777"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DM_Out_Ev_Relev</w:t>
            </w:r>
            <w:proofErr w:type="spellEnd"/>
          </w:p>
        </w:tc>
        <w:tc>
          <w:tcPr>
            <w:tcW w:w="1220" w:type="dxa"/>
            <w:tcBorders>
              <w:top w:val="nil"/>
              <w:left w:val="nil"/>
              <w:bottom w:val="nil"/>
            </w:tcBorders>
            <w:shd w:val="clear" w:color="auto" w:fill="auto"/>
            <w:noWrap/>
            <w:vAlign w:val="bottom"/>
            <w:hideMark/>
          </w:tcPr>
          <w:p w14:paraId="4D725674"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0.085889</w:t>
            </w:r>
          </w:p>
        </w:tc>
        <w:tc>
          <w:tcPr>
            <w:tcW w:w="1308" w:type="dxa"/>
            <w:shd w:val="clear" w:color="auto" w:fill="auto"/>
            <w:noWrap/>
            <w:vAlign w:val="bottom"/>
            <w:hideMark/>
          </w:tcPr>
          <w:p w14:paraId="366B7988"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0.0252442</w:t>
            </w:r>
          </w:p>
        </w:tc>
        <w:tc>
          <w:tcPr>
            <w:tcW w:w="1474" w:type="dxa"/>
            <w:shd w:val="clear" w:color="auto" w:fill="auto"/>
            <w:noWrap/>
            <w:hideMark/>
          </w:tcPr>
          <w:p w14:paraId="542224A1"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0.032</w:t>
            </w:r>
          </w:p>
        </w:tc>
        <w:tc>
          <w:tcPr>
            <w:tcW w:w="1446" w:type="dxa"/>
            <w:gridSpan w:val="2"/>
            <w:tcBorders>
              <w:top w:val="nil"/>
              <w:left w:val="nil"/>
              <w:bottom w:val="nil"/>
              <w:right w:val="nil"/>
            </w:tcBorders>
            <w:shd w:val="clear" w:color="auto" w:fill="auto"/>
            <w:vAlign w:val="bottom"/>
          </w:tcPr>
          <w:p w14:paraId="3CE4269B"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3.4023</w:t>
            </w:r>
          </w:p>
        </w:tc>
        <w:tc>
          <w:tcPr>
            <w:tcW w:w="1792" w:type="dxa"/>
            <w:tcBorders>
              <w:top w:val="nil"/>
              <w:left w:val="nil"/>
              <w:bottom w:val="nil"/>
              <w:right w:val="nil"/>
            </w:tcBorders>
            <w:shd w:val="clear" w:color="auto" w:fill="auto"/>
            <w:noWrap/>
            <w:vAlign w:val="bottom"/>
            <w:hideMark/>
          </w:tcPr>
          <w:p w14:paraId="17A9D44A"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0.00067</w:t>
            </w:r>
          </w:p>
        </w:tc>
      </w:tr>
      <w:tr w:rsidR="005B605A" w:rsidRPr="00474548" w14:paraId="11A3E07F" w14:textId="77777777" w:rsidTr="00AB10E8">
        <w:trPr>
          <w:trHeight w:val="255"/>
        </w:trPr>
        <w:tc>
          <w:tcPr>
            <w:tcW w:w="3300" w:type="dxa"/>
            <w:gridSpan w:val="2"/>
            <w:tcBorders>
              <w:top w:val="single" w:sz="4" w:space="0" w:color="auto"/>
              <w:left w:val="nil"/>
              <w:bottom w:val="nil"/>
              <w:right w:val="nil"/>
            </w:tcBorders>
            <w:shd w:val="clear" w:color="auto" w:fill="auto"/>
            <w:noWrap/>
            <w:vAlign w:val="center"/>
            <w:hideMark/>
          </w:tcPr>
          <w:p w14:paraId="1DA4A4F1"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RIEECOR</w:t>
            </w:r>
          </w:p>
        </w:tc>
        <w:tc>
          <w:tcPr>
            <w:tcW w:w="1308" w:type="dxa"/>
            <w:tcBorders>
              <w:top w:val="single" w:sz="4" w:space="0" w:color="auto"/>
              <w:left w:val="nil"/>
              <w:bottom w:val="nil"/>
              <w:right w:val="nil"/>
            </w:tcBorders>
            <w:shd w:val="clear" w:color="auto" w:fill="auto"/>
            <w:noWrap/>
            <w:vAlign w:val="bottom"/>
            <w:hideMark/>
          </w:tcPr>
          <w:p w14:paraId="505860D4"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 </w:t>
            </w:r>
          </w:p>
        </w:tc>
        <w:tc>
          <w:tcPr>
            <w:tcW w:w="4712" w:type="dxa"/>
            <w:gridSpan w:val="4"/>
            <w:tcBorders>
              <w:top w:val="single" w:sz="4" w:space="0" w:color="auto"/>
              <w:left w:val="nil"/>
              <w:bottom w:val="nil"/>
              <w:right w:val="nil"/>
            </w:tcBorders>
            <w:shd w:val="clear" w:color="auto" w:fill="auto"/>
            <w:noWrap/>
            <w:vAlign w:val="center"/>
            <w:hideMark/>
          </w:tcPr>
          <w:p w14:paraId="69879674" w14:textId="77777777"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Coeff</w:t>
            </w:r>
            <w:proofErr w:type="spellEnd"/>
            <w:r w:rsidRPr="00474548">
              <w:rPr>
                <w:color w:val="000000"/>
                <w:sz w:val="20"/>
                <w:szCs w:val="20"/>
                <w:lang w:val="en-US"/>
              </w:rPr>
              <w:t xml:space="preserve">. </w:t>
            </w:r>
            <w:proofErr w:type="gramStart"/>
            <w:r w:rsidRPr="00474548">
              <w:rPr>
                <w:color w:val="000000"/>
                <w:sz w:val="20"/>
                <w:szCs w:val="20"/>
                <w:lang w:val="en-US"/>
              </w:rPr>
              <w:t>of</w:t>
            </w:r>
            <w:proofErr w:type="gramEnd"/>
            <w:r w:rsidRPr="00474548">
              <w:rPr>
                <w:color w:val="000000"/>
                <w:sz w:val="20"/>
                <w:szCs w:val="20"/>
                <w:lang w:val="en-US"/>
              </w:rPr>
              <w:t xml:space="preserve"> 1st order autocorrelation = -0.01617</w:t>
            </w:r>
          </w:p>
        </w:tc>
      </w:tr>
      <w:tr w:rsidR="005B605A" w:rsidRPr="00474548" w14:paraId="44C5FDB9" w14:textId="77777777" w:rsidTr="00AB10E8">
        <w:trPr>
          <w:trHeight w:val="255"/>
        </w:trPr>
        <w:tc>
          <w:tcPr>
            <w:tcW w:w="4608" w:type="dxa"/>
            <w:gridSpan w:val="3"/>
            <w:tcBorders>
              <w:top w:val="nil"/>
              <w:left w:val="nil"/>
              <w:bottom w:val="nil"/>
              <w:right w:val="nil"/>
            </w:tcBorders>
            <w:shd w:val="clear" w:color="auto" w:fill="auto"/>
            <w:noWrap/>
            <w:vAlign w:val="center"/>
            <w:hideMark/>
          </w:tcPr>
          <w:p w14:paraId="56E82162" w14:textId="46BD586A"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average = 0</w:t>
            </w:r>
            <w:r w:rsidR="00A8308C" w:rsidRPr="00474548">
              <w:rPr>
                <w:color w:val="000000"/>
                <w:sz w:val="20"/>
                <w:szCs w:val="20"/>
                <w:lang w:val="en-US"/>
              </w:rPr>
              <w:t>.</w:t>
            </w:r>
            <w:r w:rsidRPr="00474548">
              <w:rPr>
                <w:color w:val="000000"/>
                <w:sz w:val="20"/>
                <w:szCs w:val="20"/>
                <w:lang w:val="en-US"/>
              </w:rPr>
              <w:t>000644049</w:t>
            </w:r>
          </w:p>
        </w:tc>
        <w:tc>
          <w:tcPr>
            <w:tcW w:w="4712" w:type="dxa"/>
            <w:gridSpan w:val="4"/>
            <w:tcBorders>
              <w:top w:val="nil"/>
              <w:left w:val="nil"/>
              <w:bottom w:val="nil"/>
              <w:right w:val="nil"/>
            </w:tcBorders>
            <w:shd w:val="clear" w:color="auto" w:fill="auto"/>
            <w:noWrap/>
            <w:vAlign w:val="center"/>
            <w:hideMark/>
          </w:tcPr>
          <w:p w14:paraId="22557DC0" w14:textId="4055B9B6" w:rsidR="005B605A" w:rsidRPr="00474548" w:rsidRDefault="005B605A" w:rsidP="008E6F8E">
            <w:pPr>
              <w:rPr>
                <w:rFonts w:eastAsia="Times New Roman"/>
                <w:color w:val="000000"/>
                <w:sz w:val="20"/>
                <w:szCs w:val="20"/>
                <w:lang w:val="en-US"/>
              </w:rPr>
            </w:pPr>
            <w:r w:rsidRPr="00474548">
              <w:rPr>
                <w:color w:val="000000"/>
                <w:sz w:val="20"/>
                <w:szCs w:val="20"/>
                <w:lang w:val="en-US"/>
              </w:rPr>
              <w:t>Likelihood logarithm = 13625.9</w:t>
            </w:r>
          </w:p>
        </w:tc>
      </w:tr>
      <w:tr w:rsidR="005B605A" w:rsidRPr="00474548" w14:paraId="2EFCF126" w14:textId="77777777" w:rsidTr="00AB10E8">
        <w:trPr>
          <w:trHeight w:val="255"/>
        </w:trPr>
        <w:tc>
          <w:tcPr>
            <w:tcW w:w="4608" w:type="dxa"/>
            <w:gridSpan w:val="3"/>
            <w:tcBorders>
              <w:top w:val="nil"/>
              <w:left w:val="nil"/>
              <w:bottom w:val="nil"/>
              <w:right w:val="nil"/>
            </w:tcBorders>
            <w:shd w:val="clear" w:color="auto" w:fill="auto"/>
            <w:noWrap/>
            <w:vAlign w:val="center"/>
            <w:hideMark/>
          </w:tcPr>
          <w:p w14:paraId="7AA38D47" w14:textId="36705C5B"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standard deviation = 0</w:t>
            </w:r>
            <w:r w:rsidR="00A8308C" w:rsidRPr="00474548">
              <w:rPr>
                <w:color w:val="000000"/>
                <w:sz w:val="20"/>
                <w:szCs w:val="20"/>
                <w:lang w:val="en-US"/>
              </w:rPr>
              <w:t>.</w:t>
            </w:r>
            <w:r w:rsidRPr="00474548">
              <w:rPr>
                <w:color w:val="000000"/>
                <w:sz w:val="20"/>
                <w:szCs w:val="20"/>
                <w:lang w:val="en-US"/>
              </w:rPr>
              <w:t>0193657</w:t>
            </w:r>
          </w:p>
        </w:tc>
        <w:tc>
          <w:tcPr>
            <w:tcW w:w="4712" w:type="dxa"/>
            <w:gridSpan w:val="4"/>
            <w:tcBorders>
              <w:top w:val="nil"/>
              <w:left w:val="nil"/>
              <w:bottom w:val="nil"/>
              <w:right w:val="nil"/>
            </w:tcBorders>
            <w:shd w:val="clear" w:color="auto" w:fill="auto"/>
            <w:noWrap/>
            <w:vAlign w:val="center"/>
            <w:hideMark/>
          </w:tcPr>
          <w:p w14:paraId="6F6FCC49" w14:textId="77777777"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Akaike</w:t>
            </w:r>
            <w:proofErr w:type="spellEnd"/>
            <w:r w:rsidRPr="00474548">
              <w:rPr>
                <w:color w:val="000000"/>
                <w:sz w:val="20"/>
                <w:szCs w:val="20"/>
                <w:lang w:val="en-US"/>
              </w:rPr>
              <w:t xml:space="preserve"> information criterion = -27245.8</w:t>
            </w:r>
          </w:p>
        </w:tc>
      </w:tr>
      <w:tr w:rsidR="005B605A" w:rsidRPr="00474548" w14:paraId="4C1D227C" w14:textId="77777777" w:rsidTr="00AB10E8">
        <w:trPr>
          <w:trHeight w:val="255"/>
        </w:trPr>
        <w:tc>
          <w:tcPr>
            <w:tcW w:w="4608" w:type="dxa"/>
            <w:gridSpan w:val="3"/>
            <w:tcBorders>
              <w:top w:val="nil"/>
              <w:left w:val="nil"/>
              <w:bottom w:val="nil"/>
              <w:right w:val="nil"/>
            </w:tcBorders>
            <w:shd w:val="clear" w:color="auto" w:fill="auto"/>
            <w:noWrap/>
            <w:vAlign w:val="center"/>
            <w:hideMark/>
          </w:tcPr>
          <w:p w14:paraId="38BC168C" w14:textId="5F18E714" w:rsidR="005B605A" w:rsidRPr="00474548" w:rsidRDefault="005B605A" w:rsidP="008E6F8E">
            <w:pPr>
              <w:rPr>
                <w:rFonts w:eastAsia="Times New Roman"/>
                <w:color w:val="000000"/>
                <w:sz w:val="20"/>
                <w:szCs w:val="20"/>
                <w:lang w:val="en-US"/>
              </w:rPr>
            </w:pPr>
            <w:r w:rsidRPr="00474548">
              <w:rPr>
                <w:color w:val="000000"/>
                <w:sz w:val="20"/>
                <w:szCs w:val="20"/>
                <w:lang w:val="en-US"/>
              </w:rPr>
              <w:t>Sum of square residues = 0</w:t>
            </w:r>
            <w:r w:rsidR="00A8308C" w:rsidRPr="00474548">
              <w:rPr>
                <w:color w:val="000000"/>
                <w:sz w:val="20"/>
                <w:szCs w:val="20"/>
                <w:lang w:val="en-US"/>
              </w:rPr>
              <w:t>.</w:t>
            </w:r>
            <w:r w:rsidRPr="00474548">
              <w:rPr>
                <w:color w:val="000000"/>
                <w:sz w:val="20"/>
                <w:szCs w:val="20"/>
                <w:lang w:val="en-US"/>
              </w:rPr>
              <w:t>572343</w:t>
            </w:r>
          </w:p>
        </w:tc>
        <w:tc>
          <w:tcPr>
            <w:tcW w:w="4712" w:type="dxa"/>
            <w:gridSpan w:val="4"/>
            <w:tcBorders>
              <w:top w:val="nil"/>
              <w:left w:val="nil"/>
              <w:bottom w:val="nil"/>
              <w:right w:val="nil"/>
            </w:tcBorders>
            <w:shd w:val="clear" w:color="auto" w:fill="auto"/>
            <w:noWrap/>
            <w:vAlign w:val="center"/>
            <w:hideMark/>
          </w:tcPr>
          <w:p w14:paraId="22B9C73D" w14:textId="6362CF2A" w:rsidR="005B605A" w:rsidRPr="00474548" w:rsidRDefault="005B605A" w:rsidP="008E6F8E">
            <w:pPr>
              <w:rPr>
                <w:rFonts w:eastAsia="Times New Roman"/>
                <w:color w:val="000000"/>
                <w:sz w:val="20"/>
                <w:szCs w:val="20"/>
                <w:lang w:val="en-US"/>
              </w:rPr>
            </w:pPr>
            <w:r w:rsidRPr="00474548">
              <w:rPr>
                <w:color w:val="000000"/>
                <w:sz w:val="20"/>
                <w:szCs w:val="20"/>
                <w:lang w:val="en-US"/>
              </w:rPr>
              <w:t>Schwarz's Bayesian Criterion = -27226</w:t>
            </w:r>
            <w:r w:rsidR="00FB45F2" w:rsidRPr="00474548">
              <w:rPr>
                <w:color w:val="000000"/>
                <w:sz w:val="20"/>
                <w:szCs w:val="20"/>
                <w:lang w:val="en-US"/>
              </w:rPr>
              <w:t>.</w:t>
            </w:r>
            <w:r w:rsidRPr="00474548">
              <w:rPr>
                <w:color w:val="000000"/>
                <w:sz w:val="20"/>
                <w:szCs w:val="20"/>
                <w:lang w:val="en-US"/>
              </w:rPr>
              <w:t>6</w:t>
            </w:r>
          </w:p>
        </w:tc>
      </w:tr>
      <w:tr w:rsidR="005B605A" w:rsidRPr="00474548" w14:paraId="3F8EA061" w14:textId="77777777" w:rsidTr="00AB10E8">
        <w:trPr>
          <w:trHeight w:val="255"/>
        </w:trPr>
        <w:tc>
          <w:tcPr>
            <w:tcW w:w="4608" w:type="dxa"/>
            <w:gridSpan w:val="3"/>
            <w:tcBorders>
              <w:top w:val="nil"/>
              <w:left w:val="nil"/>
              <w:bottom w:val="nil"/>
              <w:right w:val="nil"/>
            </w:tcBorders>
            <w:shd w:val="clear" w:color="auto" w:fill="auto"/>
            <w:noWrap/>
            <w:vAlign w:val="center"/>
            <w:hideMark/>
          </w:tcPr>
          <w:p w14:paraId="14C0D926" w14:textId="384C31E0" w:rsidR="005B605A" w:rsidRPr="00474548" w:rsidRDefault="005B605A" w:rsidP="008E6F8E">
            <w:pPr>
              <w:rPr>
                <w:rFonts w:eastAsia="Times New Roman"/>
                <w:color w:val="000000"/>
                <w:sz w:val="20"/>
                <w:szCs w:val="20"/>
                <w:lang w:val="en-US"/>
              </w:rPr>
            </w:pPr>
            <w:r w:rsidRPr="00474548">
              <w:rPr>
                <w:color w:val="000000"/>
                <w:sz w:val="20"/>
                <w:szCs w:val="20"/>
                <w:lang w:val="en-US"/>
              </w:rPr>
              <w:t>Standard error of residues = 0</w:t>
            </w:r>
            <w:r w:rsidR="00A8308C" w:rsidRPr="00474548">
              <w:rPr>
                <w:color w:val="000000"/>
                <w:sz w:val="20"/>
                <w:szCs w:val="20"/>
                <w:lang w:val="en-US"/>
              </w:rPr>
              <w:t>.</w:t>
            </w:r>
            <w:r w:rsidRPr="00474548">
              <w:rPr>
                <w:color w:val="000000"/>
                <w:sz w:val="20"/>
                <w:szCs w:val="20"/>
                <w:lang w:val="en-US"/>
              </w:rPr>
              <w:t>0113422</w:t>
            </w:r>
          </w:p>
        </w:tc>
        <w:tc>
          <w:tcPr>
            <w:tcW w:w="4712" w:type="dxa"/>
            <w:gridSpan w:val="4"/>
            <w:tcBorders>
              <w:top w:val="nil"/>
              <w:left w:val="nil"/>
              <w:bottom w:val="nil"/>
              <w:right w:val="nil"/>
            </w:tcBorders>
            <w:shd w:val="clear" w:color="auto" w:fill="auto"/>
            <w:noWrap/>
            <w:vAlign w:val="center"/>
            <w:hideMark/>
          </w:tcPr>
          <w:p w14:paraId="45574213" w14:textId="77777777"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Hannan</w:t>
            </w:r>
            <w:proofErr w:type="spellEnd"/>
            <w:r w:rsidRPr="00474548">
              <w:rPr>
                <w:color w:val="000000"/>
                <w:sz w:val="20"/>
                <w:szCs w:val="20"/>
                <w:lang w:val="en-US"/>
              </w:rPr>
              <w:t>-Quinn Criterion = -27239</w:t>
            </w:r>
          </w:p>
        </w:tc>
      </w:tr>
      <w:tr w:rsidR="005B605A" w:rsidRPr="00474548" w14:paraId="6C64F7EE" w14:textId="77777777" w:rsidTr="00AB10E8">
        <w:trPr>
          <w:trHeight w:val="285"/>
        </w:trPr>
        <w:tc>
          <w:tcPr>
            <w:tcW w:w="3300" w:type="dxa"/>
            <w:gridSpan w:val="2"/>
            <w:tcBorders>
              <w:top w:val="nil"/>
              <w:left w:val="nil"/>
              <w:bottom w:val="nil"/>
              <w:right w:val="nil"/>
            </w:tcBorders>
            <w:shd w:val="clear" w:color="auto" w:fill="auto"/>
            <w:noWrap/>
            <w:vAlign w:val="center"/>
            <w:hideMark/>
          </w:tcPr>
          <w:p w14:paraId="5DAB7C08" w14:textId="02DB3337"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not adjusted = 0</w:t>
            </w:r>
            <w:r w:rsidR="00BB60E3" w:rsidRPr="00474548">
              <w:rPr>
                <w:color w:val="000000"/>
                <w:sz w:val="20"/>
                <w:szCs w:val="20"/>
                <w:lang w:val="en-US"/>
              </w:rPr>
              <w:t>.</w:t>
            </w:r>
            <w:r w:rsidRPr="00474548">
              <w:rPr>
                <w:color w:val="000000"/>
                <w:sz w:val="20"/>
                <w:szCs w:val="20"/>
                <w:lang w:val="en-US"/>
              </w:rPr>
              <w:t>657128</w:t>
            </w:r>
          </w:p>
        </w:tc>
        <w:tc>
          <w:tcPr>
            <w:tcW w:w="1308" w:type="dxa"/>
            <w:tcBorders>
              <w:top w:val="nil"/>
              <w:left w:val="nil"/>
              <w:bottom w:val="nil"/>
              <w:right w:val="nil"/>
            </w:tcBorders>
            <w:shd w:val="clear" w:color="auto" w:fill="auto"/>
            <w:noWrap/>
            <w:vAlign w:val="bottom"/>
            <w:hideMark/>
          </w:tcPr>
          <w:p w14:paraId="16C23419" w14:textId="77777777" w:rsidR="005B605A" w:rsidRPr="00474548" w:rsidRDefault="005B605A" w:rsidP="008E6F8E">
            <w:pPr>
              <w:rPr>
                <w:rFonts w:eastAsia="Times New Roman"/>
                <w:color w:val="000000"/>
                <w:sz w:val="20"/>
                <w:szCs w:val="20"/>
                <w:lang w:val="en-US"/>
              </w:rPr>
            </w:pPr>
          </w:p>
        </w:tc>
        <w:tc>
          <w:tcPr>
            <w:tcW w:w="4712" w:type="dxa"/>
            <w:gridSpan w:val="4"/>
            <w:tcBorders>
              <w:top w:val="nil"/>
              <w:left w:val="nil"/>
              <w:bottom w:val="nil"/>
              <w:right w:val="nil"/>
            </w:tcBorders>
            <w:shd w:val="clear" w:color="auto" w:fill="auto"/>
            <w:noWrap/>
            <w:vAlign w:val="center"/>
            <w:hideMark/>
          </w:tcPr>
          <w:p w14:paraId="335559DB"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LM test for autocorrelation up to order 5 -</w:t>
            </w:r>
          </w:p>
        </w:tc>
      </w:tr>
      <w:tr w:rsidR="005B605A" w:rsidRPr="00474548" w14:paraId="12FCE50A" w14:textId="77777777" w:rsidTr="00AB10E8">
        <w:trPr>
          <w:trHeight w:val="285"/>
        </w:trPr>
        <w:tc>
          <w:tcPr>
            <w:tcW w:w="3300" w:type="dxa"/>
            <w:gridSpan w:val="2"/>
            <w:tcBorders>
              <w:top w:val="nil"/>
              <w:left w:val="nil"/>
              <w:bottom w:val="nil"/>
              <w:right w:val="nil"/>
            </w:tcBorders>
            <w:shd w:val="clear" w:color="auto" w:fill="auto"/>
            <w:noWrap/>
            <w:vAlign w:val="center"/>
            <w:hideMark/>
          </w:tcPr>
          <w:p w14:paraId="78884956" w14:textId="2E4865CD"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adjusted = 0</w:t>
            </w:r>
            <w:r w:rsidR="00BB60E3" w:rsidRPr="00474548">
              <w:rPr>
                <w:color w:val="000000"/>
                <w:sz w:val="20"/>
                <w:szCs w:val="20"/>
                <w:lang w:val="en-US"/>
              </w:rPr>
              <w:t>.</w:t>
            </w:r>
            <w:r w:rsidRPr="00474548">
              <w:rPr>
                <w:color w:val="000000"/>
                <w:sz w:val="20"/>
                <w:szCs w:val="20"/>
                <w:lang w:val="en-US"/>
              </w:rPr>
              <w:t>656974</w:t>
            </w:r>
          </w:p>
        </w:tc>
        <w:tc>
          <w:tcPr>
            <w:tcW w:w="1308" w:type="dxa"/>
            <w:tcBorders>
              <w:top w:val="nil"/>
              <w:left w:val="nil"/>
              <w:bottom w:val="nil"/>
              <w:right w:val="nil"/>
            </w:tcBorders>
            <w:shd w:val="clear" w:color="auto" w:fill="auto"/>
            <w:noWrap/>
            <w:vAlign w:val="bottom"/>
            <w:hideMark/>
          </w:tcPr>
          <w:p w14:paraId="1F726D64" w14:textId="77777777" w:rsidR="005B605A" w:rsidRPr="00474548" w:rsidRDefault="005B605A" w:rsidP="008E6F8E">
            <w:pPr>
              <w:rPr>
                <w:rFonts w:eastAsia="Times New Roman"/>
                <w:color w:val="000000"/>
                <w:sz w:val="20"/>
                <w:szCs w:val="20"/>
                <w:lang w:val="en-US"/>
              </w:rPr>
            </w:pPr>
          </w:p>
        </w:tc>
        <w:tc>
          <w:tcPr>
            <w:tcW w:w="4712" w:type="dxa"/>
            <w:gridSpan w:val="4"/>
            <w:tcBorders>
              <w:top w:val="nil"/>
              <w:left w:val="nil"/>
              <w:bottom w:val="nil"/>
              <w:right w:val="nil"/>
            </w:tcBorders>
            <w:shd w:val="clear" w:color="auto" w:fill="auto"/>
            <w:noWrap/>
            <w:vAlign w:val="center"/>
            <w:hideMark/>
          </w:tcPr>
          <w:p w14:paraId="03DB66A1"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Null hypotheses: without autocorrelation</w:t>
            </w:r>
          </w:p>
        </w:tc>
      </w:tr>
      <w:tr w:rsidR="005B605A" w:rsidRPr="00474548" w14:paraId="1F7475BD" w14:textId="77777777" w:rsidTr="00AB10E8">
        <w:trPr>
          <w:trHeight w:val="255"/>
        </w:trPr>
        <w:tc>
          <w:tcPr>
            <w:tcW w:w="4608" w:type="dxa"/>
            <w:gridSpan w:val="3"/>
            <w:tcBorders>
              <w:top w:val="nil"/>
              <w:left w:val="nil"/>
              <w:bottom w:val="nil"/>
              <w:right w:val="nil"/>
            </w:tcBorders>
            <w:shd w:val="clear" w:color="auto" w:fill="auto"/>
            <w:noWrap/>
            <w:vAlign w:val="center"/>
            <w:hideMark/>
          </w:tcPr>
          <w:p w14:paraId="0AEB6D1A"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Statistics-F (2.4449) = 4263.34 (p-value &lt; 0.00001)</w:t>
            </w:r>
          </w:p>
        </w:tc>
        <w:tc>
          <w:tcPr>
            <w:tcW w:w="4712" w:type="dxa"/>
            <w:gridSpan w:val="4"/>
            <w:tcBorders>
              <w:top w:val="nil"/>
              <w:left w:val="nil"/>
              <w:bottom w:val="nil"/>
              <w:right w:val="nil"/>
            </w:tcBorders>
            <w:shd w:val="clear" w:color="auto" w:fill="auto"/>
            <w:noWrap/>
            <w:vAlign w:val="center"/>
            <w:hideMark/>
          </w:tcPr>
          <w:p w14:paraId="04C54854" w14:textId="56EB0A0E" w:rsidR="005B605A" w:rsidRPr="00474548" w:rsidRDefault="005B605A" w:rsidP="008E6F8E">
            <w:pPr>
              <w:rPr>
                <w:rFonts w:eastAsia="Times New Roman"/>
                <w:color w:val="000000"/>
                <w:sz w:val="20"/>
                <w:szCs w:val="20"/>
                <w:lang w:val="en-US"/>
              </w:rPr>
            </w:pPr>
            <w:r w:rsidRPr="00474548">
              <w:rPr>
                <w:color w:val="000000"/>
                <w:sz w:val="20"/>
                <w:szCs w:val="20"/>
                <w:lang w:val="en-US"/>
              </w:rPr>
              <w:t>Test statistics: LMF = 1</w:t>
            </w:r>
            <w:r w:rsidR="00FB45F2" w:rsidRPr="00474548">
              <w:rPr>
                <w:color w:val="000000"/>
                <w:sz w:val="20"/>
                <w:szCs w:val="20"/>
                <w:lang w:val="en-US"/>
              </w:rPr>
              <w:t>.</w:t>
            </w:r>
            <w:r w:rsidRPr="00474548">
              <w:rPr>
                <w:color w:val="000000"/>
                <w:sz w:val="20"/>
                <w:szCs w:val="20"/>
                <w:lang w:val="en-US"/>
              </w:rPr>
              <w:t>50808</w:t>
            </w:r>
          </w:p>
        </w:tc>
      </w:tr>
      <w:tr w:rsidR="005B605A" w:rsidRPr="00474548" w14:paraId="6DC38FB2" w14:textId="77777777" w:rsidTr="00AB10E8">
        <w:trPr>
          <w:trHeight w:val="255"/>
        </w:trPr>
        <w:tc>
          <w:tcPr>
            <w:tcW w:w="4608" w:type="dxa"/>
            <w:gridSpan w:val="3"/>
            <w:tcBorders>
              <w:top w:val="nil"/>
              <w:left w:val="nil"/>
              <w:bottom w:val="single" w:sz="4" w:space="0" w:color="auto"/>
              <w:right w:val="nil"/>
            </w:tcBorders>
            <w:shd w:val="clear" w:color="auto" w:fill="auto"/>
            <w:noWrap/>
            <w:vAlign w:val="center"/>
            <w:hideMark/>
          </w:tcPr>
          <w:p w14:paraId="51D5A87A" w14:textId="2A763262" w:rsidR="005B605A" w:rsidRPr="00474548" w:rsidRDefault="005B605A" w:rsidP="008E6F8E">
            <w:pPr>
              <w:rPr>
                <w:rFonts w:eastAsia="Times New Roman"/>
                <w:color w:val="000000"/>
                <w:sz w:val="20"/>
                <w:szCs w:val="20"/>
                <w:lang w:val="en-US"/>
              </w:rPr>
            </w:pPr>
            <w:r w:rsidRPr="00474548">
              <w:rPr>
                <w:color w:val="000000"/>
                <w:sz w:val="20"/>
                <w:szCs w:val="20"/>
                <w:lang w:val="en-US"/>
              </w:rPr>
              <w:t>Durbin-Watson Statistics = 2</w:t>
            </w:r>
            <w:r w:rsidR="00BB60E3" w:rsidRPr="00474548">
              <w:rPr>
                <w:color w:val="000000"/>
                <w:sz w:val="20"/>
                <w:szCs w:val="20"/>
                <w:lang w:val="en-US"/>
              </w:rPr>
              <w:t>.</w:t>
            </w:r>
            <w:r w:rsidRPr="00474548">
              <w:rPr>
                <w:color w:val="000000"/>
                <w:sz w:val="20"/>
                <w:szCs w:val="20"/>
                <w:lang w:val="en-US"/>
              </w:rPr>
              <w:t>03224</w:t>
            </w:r>
          </w:p>
        </w:tc>
        <w:tc>
          <w:tcPr>
            <w:tcW w:w="4712" w:type="dxa"/>
            <w:gridSpan w:val="4"/>
            <w:tcBorders>
              <w:top w:val="nil"/>
              <w:left w:val="nil"/>
              <w:bottom w:val="single" w:sz="4" w:space="0" w:color="auto"/>
              <w:right w:val="nil"/>
            </w:tcBorders>
            <w:shd w:val="clear" w:color="auto" w:fill="auto"/>
            <w:noWrap/>
            <w:vAlign w:val="center"/>
            <w:hideMark/>
          </w:tcPr>
          <w:p w14:paraId="0CAD41D7" w14:textId="1F153AC6" w:rsidR="005B605A" w:rsidRPr="00474548" w:rsidRDefault="005B605A" w:rsidP="008E6F8E">
            <w:pPr>
              <w:rPr>
                <w:rFonts w:eastAsia="Times New Roman"/>
                <w:color w:val="000000"/>
                <w:sz w:val="20"/>
                <w:szCs w:val="20"/>
                <w:lang w:val="en-US"/>
              </w:rPr>
            </w:pPr>
            <w:proofErr w:type="gramStart"/>
            <w:r w:rsidRPr="00474548">
              <w:rPr>
                <w:color w:val="000000"/>
                <w:sz w:val="20"/>
                <w:szCs w:val="20"/>
                <w:lang w:val="en-US"/>
              </w:rPr>
              <w:t>with</w:t>
            </w:r>
            <w:proofErr w:type="gramEnd"/>
            <w:r w:rsidRPr="00474548">
              <w:rPr>
                <w:color w:val="000000"/>
                <w:sz w:val="20"/>
                <w:szCs w:val="20"/>
                <w:lang w:val="en-US"/>
              </w:rPr>
              <w:t xml:space="preserve"> p-value = P(F(5</w:t>
            </w:r>
            <w:r w:rsidR="00BB60E3" w:rsidRPr="00474548">
              <w:rPr>
                <w:color w:val="000000"/>
                <w:sz w:val="20"/>
                <w:szCs w:val="20"/>
                <w:lang w:val="en-US"/>
              </w:rPr>
              <w:t>.</w:t>
            </w:r>
            <w:r w:rsidRPr="00474548">
              <w:rPr>
                <w:color w:val="000000"/>
                <w:sz w:val="20"/>
                <w:szCs w:val="20"/>
                <w:lang w:val="en-US"/>
              </w:rPr>
              <w:t>4439) &gt; 1</w:t>
            </w:r>
            <w:r w:rsidR="00BB60E3" w:rsidRPr="00474548">
              <w:rPr>
                <w:color w:val="000000"/>
                <w:sz w:val="20"/>
                <w:szCs w:val="20"/>
                <w:lang w:val="en-US"/>
              </w:rPr>
              <w:t>.</w:t>
            </w:r>
            <w:r w:rsidRPr="00474548">
              <w:rPr>
                <w:color w:val="000000"/>
                <w:sz w:val="20"/>
                <w:szCs w:val="20"/>
                <w:lang w:val="en-US"/>
              </w:rPr>
              <w:t>50808) = 0</w:t>
            </w:r>
            <w:r w:rsidR="00BB60E3" w:rsidRPr="00474548">
              <w:rPr>
                <w:color w:val="000000"/>
                <w:sz w:val="20"/>
                <w:szCs w:val="20"/>
                <w:lang w:val="en-US"/>
              </w:rPr>
              <w:t>.</w:t>
            </w:r>
            <w:r w:rsidRPr="00474548">
              <w:rPr>
                <w:color w:val="000000"/>
                <w:sz w:val="20"/>
                <w:szCs w:val="20"/>
                <w:lang w:val="en-US"/>
              </w:rPr>
              <w:t>183695</w:t>
            </w:r>
          </w:p>
        </w:tc>
      </w:tr>
    </w:tbl>
    <w:p w14:paraId="2201304B" w14:textId="5C4D9E19" w:rsidR="005B605A" w:rsidRPr="00474548" w:rsidRDefault="005B605A" w:rsidP="001809F1">
      <w:pPr>
        <w:jc w:val="both"/>
        <w:rPr>
          <w:sz w:val="22"/>
          <w:szCs w:val="22"/>
          <w:lang w:val="en-US"/>
        </w:rPr>
      </w:pPr>
    </w:p>
    <w:p w14:paraId="66129145" w14:textId="2EF9E4A9" w:rsidR="005B605A" w:rsidRPr="00474548" w:rsidRDefault="005B605A" w:rsidP="008E6F8E">
      <w:pPr>
        <w:pStyle w:val="Subtitle"/>
        <w:rPr>
          <w:rFonts w:ascii="Times New Roman" w:hAnsi="Times New Roman"/>
          <w:sz w:val="22"/>
          <w:szCs w:val="22"/>
          <w:lang w:val="en-US"/>
        </w:rPr>
      </w:pPr>
      <w:bookmarkStart w:id="22" w:name="_Toc391473725"/>
      <w:r w:rsidRPr="00474548">
        <w:rPr>
          <w:rFonts w:ascii="Times New Roman" w:hAnsi="Times New Roman"/>
          <w:sz w:val="22"/>
          <w:szCs w:val="22"/>
          <w:lang w:val="en-US"/>
        </w:rPr>
        <w:t xml:space="preserve">4.4.3 Only one </w:t>
      </w:r>
      <w:r w:rsidRPr="00474548">
        <w:rPr>
          <w:rFonts w:ascii="Times New Roman" w:hAnsi="Times New Roman"/>
          <w:i/>
          <w:sz w:val="22"/>
          <w:szCs w:val="22"/>
          <w:lang w:val="en-US"/>
        </w:rPr>
        <w:t>dummy</w:t>
      </w:r>
      <w:r w:rsidRPr="00474548">
        <w:rPr>
          <w:rFonts w:ascii="Times New Roman" w:hAnsi="Times New Roman"/>
          <w:sz w:val="22"/>
          <w:szCs w:val="22"/>
          <w:lang w:val="en-US"/>
        </w:rPr>
        <w:t xml:space="preserve"> for </w:t>
      </w:r>
      <w:r w:rsidR="007715D2" w:rsidRPr="00474548">
        <w:rPr>
          <w:rFonts w:ascii="Times New Roman" w:hAnsi="Times New Roman"/>
          <w:sz w:val="22"/>
          <w:szCs w:val="22"/>
          <w:lang w:val="en-US"/>
        </w:rPr>
        <w:t xml:space="preserve">the </w:t>
      </w:r>
      <w:r w:rsidRPr="00474548">
        <w:rPr>
          <w:rFonts w:ascii="Times New Roman" w:hAnsi="Times New Roman"/>
          <w:sz w:val="22"/>
          <w:szCs w:val="22"/>
          <w:lang w:val="en-US"/>
        </w:rPr>
        <w:t>Other Events family</w:t>
      </w:r>
      <w:bookmarkEnd w:id="22"/>
      <w:r w:rsidRPr="00474548">
        <w:rPr>
          <w:rFonts w:ascii="Times New Roman" w:hAnsi="Times New Roman"/>
          <w:sz w:val="22"/>
          <w:szCs w:val="22"/>
          <w:lang w:val="en-US"/>
        </w:rPr>
        <w:t xml:space="preserve"> </w:t>
      </w:r>
    </w:p>
    <w:p w14:paraId="715BF97A" w14:textId="7923E5A6" w:rsidR="005B605A" w:rsidRPr="00474548" w:rsidRDefault="00B66123" w:rsidP="008E6F8E">
      <w:pPr>
        <w:autoSpaceDE w:val="0"/>
        <w:autoSpaceDN w:val="0"/>
        <w:adjustRightInd w:val="0"/>
        <w:ind w:firstLine="709"/>
        <w:jc w:val="both"/>
        <w:rPr>
          <w:sz w:val="22"/>
          <w:szCs w:val="22"/>
          <w:lang w:val="en-US"/>
        </w:rPr>
      </w:pPr>
      <w:r w:rsidRPr="00474548">
        <w:rPr>
          <w:sz w:val="22"/>
          <w:szCs w:val="22"/>
          <w:lang w:val="en-US"/>
        </w:rPr>
        <w:t xml:space="preserve">The </w:t>
      </w:r>
      <w:r w:rsidR="005B605A" w:rsidRPr="00474548">
        <w:rPr>
          <w:i/>
          <w:sz w:val="22"/>
          <w:szCs w:val="22"/>
          <w:lang w:val="en-US"/>
        </w:rPr>
        <w:t>Dummy</w:t>
      </w:r>
      <w:r w:rsidR="005B605A" w:rsidRPr="00474548">
        <w:rPr>
          <w:sz w:val="22"/>
          <w:szCs w:val="22"/>
          <w:lang w:val="en-US"/>
        </w:rPr>
        <w:t xml:space="preserve"> variable </w:t>
      </w:r>
      <w:r w:rsidRPr="00474548">
        <w:rPr>
          <w:sz w:val="22"/>
          <w:szCs w:val="22"/>
          <w:lang w:val="en-US"/>
        </w:rPr>
        <w:t xml:space="preserve">for </w:t>
      </w:r>
      <w:r w:rsidR="005B605A" w:rsidRPr="00474548">
        <w:rPr>
          <w:sz w:val="22"/>
          <w:szCs w:val="22"/>
          <w:lang w:val="en-US"/>
        </w:rPr>
        <w:t xml:space="preserve">Other Events involves </w:t>
      </w:r>
      <w:r w:rsidRPr="00474548">
        <w:rPr>
          <w:sz w:val="22"/>
          <w:szCs w:val="22"/>
          <w:lang w:val="en-US"/>
        </w:rPr>
        <w:t xml:space="preserve">the </w:t>
      </w:r>
      <w:r w:rsidR="005B605A" w:rsidRPr="00474548">
        <w:rPr>
          <w:sz w:val="22"/>
          <w:szCs w:val="22"/>
          <w:lang w:val="en-US"/>
        </w:rPr>
        <w:t xml:space="preserve">regulatory laws captured in </w:t>
      </w:r>
      <w:r w:rsidRPr="00474548">
        <w:rPr>
          <w:sz w:val="22"/>
          <w:szCs w:val="22"/>
          <w:lang w:val="en-US"/>
        </w:rPr>
        <w:t xml:space="preserve">the </w:t>
      </w:r>
      <w:r w:rsidR="005B605A" w:rsidRPr="00474548">
        <w:rPr>
          <w:sz w:val="22"/>
          <w:szCs w:val="22"/>
          <w:lang w:val="en-US"/>
        </w:rPr>
        <w:t xml:space="preserve">thirteen Markov Regime Changes. Other Regulatory Events selected do not overlap with </w:t>
      </w:r>
      <w:r w:rsidR="007715D2" w:rsidRPr="00474548">
        <w:rPr>
          <w:sz w:val="22"/>
          <w:szCs w:val="22"/>
          <w:lang w:val="en-US"/>
        </w:rPr>
        <w:t>O</w:t>
      </w:r>
      <w:r w:rsidR="005B605A" w:rsidRPr="00474548">
        <w:rPr>
          <w:sz w:val="22"/>
          <w:szCs w:val="22"/>
          <w:lang w:val="en-US"/>
        </w:rPr>
        <w:t xml:space="preserve">ther </w:t>
      </w:r>
      <w:r w:rsidR="007715D2" w:rsidRPr="00474548">
        <w:rPr>
          <w:sz w:val="22"/>
          <w:szCs w:val="22"/>
          <w:lang w:val="en-US"/>
        </w:rPr>
        <w:t>E</w:t>
      </w:r>
      <w:r w:rsidR="005B605A" w:rsidRPr="00474548">
        <w:rPr>
          <w:sz w:val="22"/>
          <w:szCs w:val="22"/>
          <w:lang w:val="en-US"/>
        </w:rPr>
        <w:t>vents</w:t>
      </w:r>
      <w:r w:rsidR="00BB60E3" w:rsidRPr="00474548">
        <w:rPr>
          <w:sz w:val="22"/>
          <w:szCs w:val="22"/>
          <w:lang w:val="en-US"/>
        </w:rPr>
        <w:t xml:space="preserve">; </w:t>
      </w:r>
      <w:r w:rsidR="005B605A" w:rsidRPr="00474548">
        <w:rPr>
          <w:sz w:val="22"/>
          <w:szCs w:val="22"/>
          <w:lang w:val="en-US"/>
        </w:rPr>
        <w:t>i.e.</w:t>
      </w:r>
      <w:r w:rsidR="00BB60E3" w:rsidRPr="00474548">
        <w:rPr>
          <w:sz w:val="22"/>
          <w:szCs w:val="22"/>
          <w:lang w:val="en-US"/>
        </w:rPr>
        <w:t>,</w:t>
      </w:r>
      <w:r w:rsidR="005B605A" w:rsidRPr="00474548">
        <w:rPr>
          <w:sz w:val="22"/>
          <w:szCs w:val="22"/>
          <w:lang w:val="en-US"/>
        </w:rPr>
        <w:t xml:space="preserve"> </w:t>
      </w:r>
      <w:r w:rsidR="007715D2" w:rsidRPr="00474548">
        <w:rPr>
          <w:sz w:val="22"/>
          <w:szCs w:val="22"/>
          <w:lang w:val="en-US"/>
        </w:rPr>
        <w:t xml:space="preserve">Other Events </w:t>
      </w:r>
      <w:r w:rsidR="005B605A" w:rsidRPr="00474548">
        <w:rPr>
          <w:sz w:val="22"/>
          <w:szCs w:val="22"/>
          <w:lang w:val="en-US"/>
        </w:rPr>
        <w:t xml:space="preserve">do not take place in the same period of MP/Laws and/or Other Significant Events. </w:t>
      </w:r>
      <w:r w:rsidR="008E78EC" w:rsidRPr="00474548">
        <w:rPr>
          <w:sz w:val="22"/>
          <w:szCs w:val="22"/>
          <w:lang w:val="en-US"/>
        </w:rPr>
        <w:t>The results are shown in Table 6</w:t>
      </w:r>
      <w:r w:rsidR="005B605A" w:rsidRPr="00474548">
        <w:rPr>
          <w:sz w:val="22"/>
          <w:szCs w:val="22"/>
          <w:lang w:val="en-US"/>
        </w:rPr>
        <w:t>.</w:t>
      </w:r>
    </w:p>
    <w:p w14:paraId="6B02CAD3" w14:textId="77777777" w:rsidR="000F7154" w:rsidRPr="00474548" w:rsidRDefault="000F7154" w:rsidP="000F7154">
      <w:pPr>
        <w:autoSpaceDE w:val="0"/>
        <w:autoSpaceDN w:val="0"/>
        <w:adjustRightInd w:val="0"/>
        <w:ind w:firstLine="709"/>
        <w:jc w:val="both"/>
        <w:rPr>
          <w:color w:val="000000"/>
          <w:sz w:val="22"/>
          <w:szCs w:val="22"/>
          <w:lang w:val="en-US"/>
        </w:rPr>
      </w:pPr>
      <w:r w:rsidRPr="00474548">
        <w:rPr>
          <w:color w:val="000000"/>
          <w:sz w:val="22"/>
          <w:szCs w:val="22"/>
          <w:lang w:val="en-US"/>
        </w:rPr>
        <w:t xml:space="preserve">Based on Table 6, the beta coefficient for the stocks that make up the IEE is close to the previous results. However, the regulatory risk captured from other events presents an impact of 2.2% on the stock risks, the lowest coefficient obtained for the three families under review. Overall, this </w:t>
      </w:r>
      <w:r w:rsidRPr="00474548">
        <w:rPr>
          <w:color w:val="000000"/>
          <w:sz w:val="22"/>
          <w:szCs w:val="22"/>
          <w:lang w:val="en-US"/>
        </w:rPr>
        <w:lastRenderedPageBreak/>
        <w:t xml:space="preserve">result indicates that the content power or intensity present in the regulatory legislation addressed to the Brazilian electricity sector is significant, and, therefore, should be considered for risk assessment of that nature. </w:t>
      </w:r>
    </w:p>
    <w:p w14:paraId="707EAF5C" w14:textId="77777777" w:rsidR="005B605A" w:rsidRPr="00474548" w:rsidRDefault="005B605A" w:rsidP="000F7154">
      <w:pPr>
        <w:autoSpaceDE w:val="0"/>
        <w:autoSpaceDN w:val="0"/>
        <w:adjustRightInd w:val="0"/>
        <w:jc w:val="both"/>
        <w:rPr>
          <w:sz w:val="22"/>
          <w:szCs w:val="22"/>
          <w:lang w:val="en-US"/>
        </w:rPr>
      </w:pPr>
    </w:p>
    <w:p w14:paraId="471A47F2" w14:textId="5D04BF41" w:rsidR="005B605A" w:rsidRPr="00474548" w:rsidRDefault="009F49FD" w:rsidP="008E6F8E">
      <w:pPr>
        <w:pStyle w:val="Caption"/>
        <w:spacing w:after="0"/>
        <w:rPr>
          <w:b w:val="0"/>
          <w:color w:val="auto"/>
          <w:sz w:val="22"/>
          <w:szCs w:val="22"/>
          <w:lang w:val="en-US"/>
        </w:rPr>
      </w:pPr>
      <w:bookmarkStart w:id="23" w:name="_Toc391499588"/>
      <w:r w:rsidRPr="00474548">
        <w:rPr>
          <w:b w:val="0"/>
          <w:color w:val="auto"/>
          <w:sz w:val="22"/>
          <w:szCs w:val="22"/>
          <w:lang w:val="en-US"/>
        </w:rPr>
        <w:t>Table 6</w:t>
      </w:r>
      <w:r w:rsidR="005B605A" w:rsidRPr="00474548">
        <w:rPr>
          <w:b w:val="0"/>
          <w:color w:val="auto"/>
          <w:sz w:val="22"/>
          <w:szCs w:val="22"/>
          <w:lang w:val="en-US"/>
        </w:rPr>
        <w:t xml:space="preserve"> - Single </w:t>
      </w:r>
      <w:r w:rsidR="005B605A" w:rsidRPr="00474548">
        <w:rPr>
          <w:b w:val="0"/>
          <w:i/>
          <w:color w:val="auto"/>
          <w:sz w:val="22"/>
          <w:szCs w:val="22"/>
          <w:u w:val="single"/>
          <w:lang w:val="en-US"/>
        </w:rPr>
        <w:t>d</w:t>
      </w:r>
      <w:r w:rsidR="005B605A" w:rsidRPr="00474548">
        <w:rPr>
          <w:b w:val="0"/>
          <w:i/>
          <w:color w:val="auto"/>
          <w:sz w:val="22"/>
          <w:szCs w:val="22"/>
          <w:lang w:val="en-US"/>
        </w:rPr>
        <w:t>ummy</w:t>
      </w:r>
      <w:r w:rsidR="005B605A" w:rsidRPr="00474548">
        <w:rPr>
          <w:b w:val="0"/>
          <w:color w:val="auto"/>
          <w:sz w:val="22"/>
          <w:szCs w:val="22"/>
          <w:lang w:val="en-US"/>
        </w:rPr>
        <w:t>: Other Events family</w:t>
      </w:r>
      <w:bookmarkEnd w:id="23"/>
      <w:r w:rsidR="005B605A" w:rsidRPr="00474548">
        <w:rPr>
          <w:b w:val="0"/>
          <w:color w:val="auto"/>
          <w:sz w:val="22"/>
          <w:szCs w:val="22"/>
          <w:lang w:val="en-US"/>
        </w:rPr>
        <w:t xml:space="preserve"> </w:t>
      </w:r>
    </w:p>
    <w:tbl>
      <w:tblPr>
        <w:tblW w:w="4886"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726"/>
        <w:gridCol w:w="1434"/>
        <w:gridCol w:w="1280"/>
        <w:gridCol w:w="1550"/>
        <w:gridCol w:w="1409"/>
        <w:gridCol w:w="1552"/>
      </w:tblGrid>
      <w:tr w:rsidR="005B605A" w:rsidRPr="00474548" w14:paraId="5329C81C" w14:textId="77777777" w:rsidTr="00AB10E8">
        <w:trPr>
          <w:trHeight w:val="328"/>
        </w:trPr>
        <w:tc>
          <w:tcPr>
            <w:tcW w:w="964" w:type="pct"/>
            <w:tcBorders>
              <w:top w:val="single" w:sz="4" w:space="0" w:color="auto"/>
              <w:bottom w:val="single" w:sz="4" w:space="0" w:color="auto"/>
            </w:tcBorders>
            <w:shd w:val="clear" w:color="000000" w:fill="D9D9D9"/>
            <w:vAlign w:val="center"/>
            <w:hideMark/>
          </w:tcPr>
          <w:p w14:paraId="5646DB91"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Variable</w:t>
            </w:r>
          </w:p>
        </w:tc>
        <w:tc>
          <w:tcPr>
            <w:tcW w:w="801" w:type="pct"/>
            <w:tcBorders>
              <w:top w:val="single" w:sz="4" w:space="0" w:color="auto"/>
              <w:bottom w:val="single" w:sz="4" w:space="0" w:color="auto"/>
            </w:tcBorders>
            <w:shd w:val="clear" w:color="000000" w:fill="D9D9D9"/>
            <w:vAlign w:val="center"/>
            <w:hideMark/>
          </w:tcPr>
          <w:p w14:paraId="77621C8B"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Coefficient</w:t>
            </w:r>
          </w:p>
        </w:tc>
        <w:tc>
          <w:tcPr>
            <w:tcW w:w="715" w:type="pct"/>
            <w:tcBorders>
              <w:top w:val="single" w:sz="4" w:space="0" w:color="auto"/>
              <w:bottom w:val="single" w:sz="4" w:space="0" w:color="auto"/>
            </w:tcBorders>
            <w:shd w:val="clear" w:color="000000" w:fill="D9D9D9"/>
            <w:vAlign w:val="center"/>
            <w:hideMark/>
          </w:tcPr>
          <w:p w14:paraId="09EDFCA8"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Standard Error</w:t>
            </w:r>
          </w:p>
        </w:tc>
        <w:tc>
          <w:tcPr>
            <w:tcW w:w="866" w:type="pct"/>
            <w:tcBorders>
              <w:top w:val="single" w:sz="4" w:space="0" w:color="auto"/>
              <w:bottom w:val="single" w:sz="4" w:space="0" w:color="auto"/>
            </w:tcBorders>
            <w:shd w:val="clear" w:color="000000" w:fill="D9D9D9"/>
            <w:vAlign w:val="center"/>
            <w:hideMark/>
          </w:tcPr>
          <w:p w14:paraId="0A026BC3" w14:textId="302D9584" w:rsidR="005B605A" w:rsidRPr="00474548" w:rsidRDefault="00A8308C" w:rsidP="008E6F8E">
            <w:pPr>
              <w:jc w:val="center"/>
              <w:rPr>
                <w:rFonts w:eastAsia="Times New Roman"/>
                <w:i/>
                <w:iCs/>
                <w:color w:val="000000"/>
                <w:sz w:val="20"/>
                <w:szCs w:val="20"/>
                <w:lang w:val="en-US"/>
              </w:rPr>
            </w:pPr>
            <w:r w:rsidRPr="00474548">
              <w:rPr>
                <w:color w:val="000000"/>
                <w:kern w:val="0"/>
                <w:sz w:val="20"/>
                <w:szCs w:val="20"/>
                <w:lang w:val="en-US"/>
              </w:rPr>
              <w:t>Standardized Beta</w:t>
            </w:r>
          </w:p>
        </w:tc>
        <w:tc>
          <w:tcPr>
            <w:tcW w:w="787" w:type="pct"/>
            <w:tcBorders>
              <w:top w:val="single" w:sz="4" w:space="0" w:color="auto"/>
              <w:bottom w:val="single" w:sz="4" w:space="0" w:color="auto"/>
            </w:tcBorders>
            <w:shd w:val="clear" w:color="000000" w:fill="D9D9D9"/>
            <w:vAlign w:val="center"/>
          </w:tcPr>
          <w:p w14:paraId="19ECCA32" w14:textId="2A888E8A" w:rsidR="005B605A" w:rsidRPr="00474548" w:rsidRDefault="00820C25" w:rsidP="008E6F8E">
            <w:pPr>
              <w:jc w:val="center"/>
              <w:rPr>
                <w:rFonts w:eastAsia="Times New Roman"/>
                <w:i/>
                <w:iCs/>
                <w:color w:val="000000"/>
                <w:sz w:val="20"/>
                <w:szCs w:val="20"/>
                <w:lang w:val="en-US"/>
              </w:rPr>
            </w:pPr>
            <w:proofErr w:type="gramStart"/>
            <w:r w:rsidRPr="00474548">
              <w:rPr>
                <w:i/>
                <w:color w:val="000000"/>
                <w:sz w:val="20"/>
                <w:szCs w:val="20"/>
                <w:lang w:val="en-US"/>
              </w:rPr>
              <w:t>t</w:t>
            </w:r>
            <w:proofErr w:type="gramEnd"/>
            <w:r w:rsidRPr="00474548">
              <w:rPr>
                <w:i/>
                <w:color w:val="000000"/>
                <w:sz w:val="20"/>
                <w:szCs w:val="20"/>
                <w:lang w:val="en-US"/>
              </w:rPr>
              <w:t>-</w:t>
            </w:r>
            <w:r w:rsidR="005B605A" w:rsidRPr="00474548">
              <w:rPr>
                <w:i/>
                <w:color w:val="000000"/>
                <w:sz w:val="20"/>
                <w:szCs w:val="20"/>
                <w:lang w:val="en-US"/>
              </w:rPr>
              <w:t>statistics</w:t>
            </w:r>
          </w:p>
        </w:tc>
        <w:tc>
          <w:tcPr>
            <w:tcW w:w="867" w:type="pct"/>
            <w:tcBorders>
              <w:top w:val="single" w:sz="4" w:space="0" w:color="auto"/>
              <w:bottom w:val="single" w:sz="4" w:space="0" w:color="auto"/>
            </w:tcBorders>
            <w:shd w:val="clear" w:color="000000" w:fill="D9D9D9"/>
            <w:vAlign w:val="center"/>
            <w:hideMark/>
          </w:tcPr>
          <w:p w14:paraId="2C15960A" w14:textId="77777777" w:rsidR="005B605A" w:rsidRPr="00474548" w:rsidRDefault="005B605A" w:rsidP="008E6F8E">
            <w:pPr>
              <w:jc w:val="center"/>
              <w:rPr>
                <w:rFonts w:eastAsia="Times New Roman"/>
                <w:i/>
                <w:iCs/>
                <w:color w:val="000000"/>
                <w:sz w:val="20"/>
                <w:szCs w:val="20"/>
                <w:lang w:val="en-US"/>
              </w:rPr>
            </w:pPr>
            <w:proofErr w:type="gramStart"/>
            <w:r w:rsidRPr="00474548">
              <w:rPr>
                <w:i/>
                <w:color w:val="000000"/>
                <w:sz w:val="20"/>
                <w:szCs w:val="20"/>
                <w:lang w:val="en-US"/>
              </w:rPr>
              <w:t>p</w:t>
            </w:r>
            <w:proofErr w:type="gramEnd"/>
            <w:r w:rsidRPr="00474548">
              <w:rPr>
                <w:i/>
                <w:color w:val="000000"/>
                <w:sz w:val="20"/>
                <w:szCs w:val="20"/>
                <w:lang w:val="en-US"/>
              </w:rPr>
              <w:t>-value</w:t>
            </w:r>
          </w:p>
        </w:tc>
      </w:tr>
      <w:tr w:rsidR="005B605A" w:rsidRPr="00474548" w14:paraId="17CFB819" w14:textId="77777777" w:rsidTr="00AB10E8">
        <w:trPr>
          <w:trHeight w:val="147"/>
        </w:trPr>
        <w:tc>
          <w:tcPr>
            <w:tcW w:w="964" w:type="pct"/>
            <w:tcBorders>
              <w:top w:val="single" w:sz="4" w:space="0" w:color="auto"/>
            </w:tcBorders>
            <w:shd w:val="clear" w:color="auto" w:fill="auto"/>
            <w:vAlign w:val="center"/>
            <w:hideMark/>
          </w:tcPr>
          <w:p w14:paraId="04EEC925"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Const.</w:t>
            </w:r>
          </w:p>
        </w:tc>
        <w:tc>
          <w:tcPr>
            <w:tcW w:w="801" w:type="pct"/>
            <w:tcBorders>
              <w:top w:val="single" w:sz="4" w:space="0" w:color="auto"/>
            </w:tcBorders>
            <w:shd w:val="clear" w:color="auto" w:fill="auto"/>
            <w:vAlign w:val="center"/>
            <w:hideMark/>
          </w:tcPr>
          <w:p w14:paraId="57A7444A"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0.0002094</w:t>
            </w:r>
          </w:p>
        </w:tc>
        <w:tc>
          <w:tcPr>
            <w:tcW w:w="715" w:type="pct"/>
            <w:tcBorders>
              <w:top w:val="single" w:sz="4" w:space="0" w:color="auto"/>
            </w:tcBorders>
            <w:shd w:val="clear" w:color="auto" w:fill="auto"/>
            <w:vAlign w:val="center"/>
            <w:hideMark/>
          </w:tcPr>
          <w:p w14:paraId="46F3BF65"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0.00017017</w:t>
            </w:r>
          </w:p>
        </w:tc>
        <w:tc>
          <w:tcPr>
            <w:tcW w:w="866" w:type="pct"/>
            <w:tcBorders>
              <w:top w:val="single" w:sz="4" w:space="0" w:color="auto"/>
            </w:tcBorders>
            <w:shd w:val="clear" w:color="auto" w:fill="auto"/>
            <w:hideMark/>
          </w:tcPr>
          <w:p w14:paraId="100270D8"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 </w:t>
            </w:r>
          </w:p>
        </w:tc>
        <w:tc>
          <w:tcPr>
            <w:tcW w:w="787" w:type="pct"/>
            <w:tcBorders>
              <w:top w:val="single" w:sz="4" w:space="0" w:color="auto"/>
            </w:tcBorders>
            <w:shd w:val="clear" w:color="auto" w:fill="auto"/>
            <w:vAlign w:val="center"/>
          </w:tcPr>
          <w:p w14:paraId="48AFB834"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1.231</w:t>
            </w:r>
          </w:p>
        </w:tc>
        <w:tc>
          <w:tcPr>
            <w:tcW w:w="867" w:type="pct"/>
            <w:tcBorders>
              <w:top w:val="single" w:sz="4" w:space="0" w:color="auto"/>
            </w:tcBorders>
            <w:shd w:val="clear" w:color="auto" w:fill="auto"/>
            <w:vAlign w:val="center"/>
            <w:hideMark/>
          </w:tcPr>
          <w:p w14:paraId="183A836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0.21838</w:t>
            </w:r>
          </w:p>
        </w:tc>
      </w:tr>
      <w:tr w:rsidR="005B605A" w:rsidRPr="00474548" w14:paraId="7E5FE208" w14:textId="77777777" w:rsidTr="00AB10E8">
        <w:trPr>
          <w:trHeight w:val="134"/>
        </w:trPr>
        <w:tc>
          <w:tcPr>
            <w:tcW w:w="964" w:type="pct"/>
            <w:shd w:val="clear" w:color="auto" w:fill="auto"/>
            <w:vAlign w:val="center"/>
            <w:hideMark/>
          </w:tcPr>
          <w:p w14:paraId="16D65AF8"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RIBOVCORR</w:t>
            </w:r>
          </w:p>
        </w:tc>
        <w:tc>
          <w:tcPr>
            <w:tcW w:w="801" w:type="pct"/>
            <w:shd w:val="clear" w:color="auto" w:fill="auto"/>
            <w:vAlign w:val="center"/>
            <w:hideMark/>
          </w:tcPr>
          <w:p w14:paraId="386CA54D"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0.70527</w:t>
            </w:r>
          </w:p>
        </w:tc>
        <w:tc>
          <w:tcPr>
            <w:tcW w:w="715" w:type="pct"/>
            <w:shd w:val="clear" w:color="auto" w:fill="auto"/>
            <w:vAlign w:val="center"/>
            <w:hideMark/>
          </w:tcPr>
          <w:p w14:paraId="3B0E4035"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0.00789569</w:t>
            </w:r>
          </w:p>
        </w:tc>
        <w:tc>
          <w:tcPr>
            <w:tcW w:w="866" w:type="pct"/>
            <w:shd w:val="clear" w:color="auto" w:fill="auto"/>
            <w:hideMark/>
          </w:tcPr>
          <w:p w14:paraId="2CC204CD"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0.805</w:t>
            </w:r>
          </w:p>
        </w:tc>
        <w:tc>
          <w:tcPr>
            <w:tcW w:w="787" w:type="pct"/>
            <w:shd w:val="clear" w:color="auto" w:fill="auto"/>
            <w:vAlign w:val="center"/>
          </w:tcPr>
          <w:p w14:paraId="2A3EF441"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89.3234</w:t>
            </w:r>
          </w:p>
        </w:tc>
        <w:tc>
          <w:tcPr>
            <w:tcW w:w="867" w:type="pct"/>
            <w:shd w:val="clear" w:color="auto" w:fill="auto"/>
            <w:vAlign w:val="center"/>
            <w:hideMark/>
          </w:tcPr>
          <w:p w14:paraId="4C2D3BE7" w14:textId="4EEE6381"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&lt;0</w:t>
            </w:r>
            <w:r w:rsidR="00A8308C" w:rsidRPr="00474548">
              <w:rPr>
                <w:color w:val="000000"/>
                <w:sz w:val="20"/>
                <w:szCs w:val="20"/>
                <w:lang w:val="en-US"/>
              </w:rPr>
              <w:t>.</w:t>
            </w:r>
            <w:r w:rsidRPr="00474548">
              <w:rPr>
                <w:color w:val="000000"/>
                <w:sz w:val="20"/>
                <w:szCs w:val="20"/>
                <w:lang w:val="en-US"/>
              </w:rPr>
              <w:t>00001</w:t>
            </w:r>
          </w:p>
        </w:tc>
      </w:tr>
      <w:tr w:rsidR="005B605A" w:rsidRPr="00474548" w14:paraId="128EAE13" w14:textId="77777777" w:rsidTr="00AB10E8">
        <w:trPr>
          <w:trHeight w:val="80"/>
        </w:trPr>
        <w:tc>
          <w:tcPr>
            <w:tcW w:w="964" w:type="pct"/>
            <w:tcBorders>
              <w:bottom w:val="single" w:sz="4" w:space="0" w:color="auto"/>
            </w:tcBorders>
            <w:shd w:val="clear" w:color="auto" w:fill="auto"/>
            <w:noWrap/>
            <w:vAlign w:val="center"/>
            <w:hideMark/>
          </w:tcPr>
          <w:p w14:paraId="3F6F5A4C" w14:textId="77777777"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DM_outros_ev</w:t>
            </w:r>
            <w:proofErr w:type="spellEnd"/>
          </w:p>
        </w:tc>
        <w:tc>
          <w:tcPr>
            <w:tcW w:w="801" w:type="pct"/>
            <w:tcBorders>
              <w:bottom w:val="single" w:sz="4" w:space="0" w:color="auto"/>
            </w:tcBorders>
            <w:shd w:val="clear" w:color="auto" w:fill="auto"/>
            <w:noWrap/>
            <w:vAlign w:val="bottom"/>
            <w:hideMark/>
          </w:tcPr>
          <w:p w14:paraId="2DE7E629"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0.088126</w:t>
            </w:r>
          </w:p>
        </w:tc>
        <w:tc>
          <w:tcPr>
            <w:tcW w:w="715" w:type="pct"/>
            <w:tcBorders>
              <w:bottom w:val="single" w:sz="4" w:space="0" w:color="auto"/>
            </w:tcBorders>
            <w:shd w:val="clear" w:color="auto" w:fill="auto"/>
            <w:noWrap/>
            <w:vAlign w:val="bottom"/>
            <w:hideMark/>
          </w:tcPr>
          <w:p w14:paraId="3475707D"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0.035315</w:t>
            </w:r>
          </w:p>
        </w:tc>
        <w:tc>
          <w:tcPr>
            <w:tcW w:w="866" w:type="pct"/>
            <w:tcBorders>
              <w:bottom w:val="single" w:sz="4" w:space="0" w:color="auto"/>
            </w:tcBorders>
            <w:shd w:val="clear" w:color="auto" w:fill="auto"/>
            <w:noWrap/>
            <w:hideMark/>
          </w:tcPr>
          <w:p w14:paraId="18692ABA"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0.022</w:t>
            </w:r>
          </w:p>
        </w:tc>
        <w:tc>
          <w:tcPr>
            <w:tcW w:w="787" w:type="pct"/>
            <w:tcBorders>
              <w:bottom w:val="single" w:sz="4" w:space="0" w:color="auto"/>
            </w:tcBorders>
            <w:shd w:val="clear" w:color="auto" w:fill="auto"/>
            <w:vAlign w:val="bottom"/>
          </w:tcPr>
          <w:p w14:paraId="1598E7B5"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2.4954</w:t>
            </w:r>
          </w:p>
        </w:tc>
        <w:tc>
          <w:tcPr>
            <w:tcW w:w="867" w:type="pct"/>
            <w:tcBorders>
              <w:bottom w:val="single" w:sz="4" w:space="0" w:color="auto"/>
            </w:tcBorders>
            <w:shd w:val="clear" w:color="auto" w:fill="auto"/>
            <w:noWrap/>
            <w:vAlign w:val="bottom"/>
            <w:hideMark/>
          </w:tcPr>
          <w:p w14:paraId="25FDBED5"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0.01262</w:t>
            </w:r>
          </w:p>
        </w:tc>
      </w:tr>
      <w:tr w:rsidR="005B605A" w:rsidRPr="00474548" w14:paraId="6B447CF3" w14:textId="77777777" w:rsidTr="00AB10E8">
        <w:trPr>
          <w:trHeight w:val="255"/>
        </w:trPr>
        <w:tc>
          <w:tcPr>
            <w:tcW w:w="1765" w:type="pct"/>
            <w:gridSpan w:val="2"/>
            <w:tcBorders>
              <w:top w:val="single" w:sz="4" w:space="0" w:color="auto"/>
              <w:bottom w:val="nil"/>
            </w:tcBorders>
            <w:shd w:val="clear" w:color="auto" w:fill="auto"/>
            <w:noWrap/>
            <w:vAlign w:val="center"/>
            <w:hideMark/>
          </w:tcPr>
          <w:p w14:paraId="06B8C754"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RIEECOR</w:t>
            </w:r>
          </w:p>
        </w:tc>
        <w:tc>
          <w:tcPr>
            <w:tcW w:w="715" w:type="pct"/>
            <w:tcBorders>
              <w:top w:val="single" w:sz="4" w:space="0" w:color="auto"/>
              <w:bottom w:val="nil"/>
            </w:tcBorders>
            <w:shd w:val="clear" w:color="auto" w:fill="auto"/>
            <w:noWrap/>
            <w:vAlign w:val="bottom"/>
            <w:hideMark/>
          </w:tcPr>
          <w:p w14:paraId="79C38C5F" w14:textId="77777777" w:rsidR="005B605A" w:rsidRPr="00474548" w:rsidRDefault="005B605A" w:rsidP="008E6F8E">
            <w:pPr>
              <w:rPr>
                <w:rFonts w:eastAsia="Times New Roman"/>
                <w:color w:val="000000"/>
                <w:sz w:val="20"/>
                <w:szCs w:val="20"/>
                <w:lang w:val="en-US"/>
              </w:rPr>
            </w:pPr>
          </w:p>
        </w:tc>
        <w:tc>
          <w:tcPr>
            <w:tcW w:w="2520" w:type="pct"/>
            <w:gridSpan w:val="3"/>
            <w:tcBorders>
              <w:top w:val="single" w:sz="4" w:space="0" w:color="auto"/>
              <w:bottom w:val="nil"/>
            </w:tcBorders>
            <w:shd w:val="clear" w:color="auto" w:fill="auto"/>
            <w:noWrap/>
            <w:vAlign w:val="center"/>
            <w:hideMark/>
          </w:tcPr>
          <w:p w14:paraId="5DED14D1" w14:textId="14D1752A"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Coeff</w:t>
            </w:r>
            <w:proofErr w:type="spellEnd"/>
            <w:r w:rsidRPr="00474548">
              <w:rPr>
                <w:color w:val="000000"/>
                <w:sz w:val="20"/>
                <w:szCs w:val="20"/>
                <w:lang w:val="en-US"/>
              </w:rPr>
              <w:t xml:space="preserve">. </w:t>
            </w:r>
            <w:proofErr w:type="gramStart"/>
            <w:r w:rsidRPr="00474548">
              <w:rPr>
                <w:color w:val="000000"/>
                <w:sz w:val="20"/>
                <w:szCs w:val="20"/>
                <w:lang w:val="en-US"/>
              </w:rPr>
              <w:t>of</w:t>
            </w:r>
            <w:proofErr w:type="gramEnd"/>
            <w:r w:rsidRPr="00474548">
              <w:rPr>
                <w:color w:val="000000"/>
                <w:sz w:val="20"/>
                <w:szCs w:val="20"/>
                <w:lang w:val="en-US"/>
              </w:rPr>
              <w:t xml:space="preserve"> 1st order autocorrelation = -0</w:t>
            </w:r>
            <w:r w:rsidR="00820C25" w:rsidRPr="00474548">
              <w:rPr>
                <w:color w:val="000000"/>
                <w:sz w:val="20"/>
                <w:szCs w:val="20"/>
                <w:lang w:val="en-US"/>
              </w:rPr>
              <w:t>.</w:t>
            </w:r>
            <w:r w:rsidRPr="00474548">
              <w:rPr>
                <w:color w:val="000000"/>
                <w:sz w:val="20"/>
                <w:szCs w:val="20"/>
                <w:lang w:val="en-US"/>
              </w:rPr>
              <w:t>0156883</w:t>
            </w:r>
          </w:p>
        </w:tc>
      </w:tr>
      <w:tr w:rsidR="005B605A" w:rsidRPr="00474548" w14:paraId="78DD6DDA" w14:textId="77777777" w:rsidTr="00AB10E8">
        <w:trPr>
          <w:trHeight w:val="255"/>
        </w:trPr>
        <w:tc>
          <w:tcPr>
            <w:tcW w:w="2480" w:type="pct"/>
            <w:gridSpan w:val="3"/>
            <w:tcBorders>
              <w:top w:val="nil"/>
            </w:tcBorders>
            <w:shd w:val="clear" w:color="auto" w:fill="auto"/>
            <w:noWrap/>
            <w:vAlign w:val="center"/>
            <w:hideMark/>
          </w:tcPr>
          <w:p w14:paraId="3D7A6D1D" w14:textId="438BFB9C"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average = 0</w:t>
            </w:r>
            <w:r w:rsidR="00BB60E3" w:rsidRPr="00474548">
              <w:rPr>
                <w:color w:val="000000"/>
                <w:sz w:val="20"/>
                <w:szCs w:val="20"/>
                <w:lang w:val="en-US"/>
              </w:rPr>
              <w:t>.</w:t>
            </w:r>
            <w:r w:rsidRPr="00474548">
              <w:rPr>
                <w:color w:val="000000"/>
                <w:sz w:val="20"/>
                <w:szCs w:val="20"/>
                <w:lang w:val="en-US"/>
              </w:rPr>
              <w:t>000644049</w:t>
            </w:r>
          </w:p>
        </w:tc>
        <w:tc>
          <w:tcPr>
            <w:tcW w:w="2520" w:type="pct"/>
            <w:gridSpan w:val="3"/>
            <w:tcBorders>
              <w:top w:val="nil"/>
            </w:tcBorders>
            <w:shd w:val="clear" w:color="auto" w:fill="auto"/>
            <w:noWrap/>
            <w:vAlign w:val="center"/>
            <w:hideMark/>
          </w:tcPr>
          <w:p w14:paraId="1CB8CEAC" w14:textId="6C4068AF" w:rsidR="005B605A" w:rsidRPr="00474548" w:rsidRDefault="005B605A" w:rsidP="008E6F8E">
            <w:pPr>
              <w:rPr>
                <w:rFonts w:eastAsia="Times New Roman"/>
                <w:color w:val="000000"/>
                <w:sz w:val="20"/>
                <w:szCs w:val="20"/>
                <w:lang w:val="en-US"/>
              </w:rPr>
            </w:pPr>
            <w:r w:rsidRPr="00474548">
              <w:rPr>
                <w:color w:val="000000"/>
                <w:sz w:val="20"/>
                <w:szCs w:val="20"/>
                <w:lang w:val="en-US"/>
              </w:rPr>
              <w:t>Likelihood logarithm = 13623</w:t>
            </w:r>
            <w:r w:rsidR="00BB60E3" w:rsidRPr="00474548">
              <w:rPr>
                <w:color w:val="000000"/>
                <w:sz w:val="20"/>
                <w:szCs w:val="20"/>
                <w:lang w:val="en-US"/>
              </w:rPr>
              <w:t>.</w:t>
            </w:r>
            <w:r w:rsidRPr="00474548">
              <w:rPr>
                <w:color w:val="000000"/>
                <w:sz w:val="20"/>
                <w:szCs w:val="20"/>
                <w:lang w:val="en-US"/>
              </w:rPr>
              <w:t>2</w:t>
            </w:r>
          </w:p>
        </w:tc>
      </w:tr>
      <w:tr w:rsidR="005B605A" w:rsidRPr="00474548" w14:paraId="2CADDC2E" w14:textId="77777777" w:rsidTr="00AB10E8">
        <w:trPr>
          <w:trHeight w:val="255"/>
        </w:trPr>
        <w:tc>
          <w:tcPr>
            <w:tcW w:w="2480" w:type="pct"/>
            <w:gridSpan w:val="3"/>
            <w:shd w:val="clear" w:color="auto" w:fill="auto"/>
            <w:noWrap/>
            <w:vAlign w:val="center"/>
            <w:hideMark/>
          </w:tcPr>
          <w:p w14:paraId="61CC4E70" w14:textId="7DFCF9AE"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standard deviation = 0</w:t>
            </w:r>
            <w:r w:rsidR="00BB60E3" w:rsidRPr="00474548">
              <w:rPr>
                <w:color w:val="000000"/>
                <w:sz w:val="20"/>
                <w:szCs w:val="20"/>
                <w:lang w:val="en-US"/>
              </w:rPr>
              <w:t>.</w:t>
            </w:r>
            <w:r w:rsidRPr="00474548">
              <w:rPr>
                <w:color w:val="000000"/>
                <w:sz w:val="20"/>
                <w:szCs w:val="20"/>
                <w:lang w:val="en-US"/>
              </w:rPr>
              <w:t>0193657</w:t>
            </w:r>
          </w:p>
        </w:tc>
        <w:tc>
          <w:tcPr>
            <w:tcW w:w="2520" w:type="pct"/>
            <w:gridSpan w:val="3"/>
            <w:shd w:val="clear" w:color="auto" w:fill="auto"/>
            <w:noWrap/>
            <w:vAlign w:val="center"/>
            <w:hideMark/>
          </w:tcPr>
          <w:p w14:paraId="75E9FD78" w14:textId="6D038F01"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Akaike</w:t>
            </w:r>
            <w:proofErr w:type="spellEnd"/>
            <w:r w:rsidRPr="00474548">
              <w:rPr>
                <w:color w:val="000000"/>
                <w:sz w:val="20"/>
                <w:szCs w:val="20"/>
                <w:lang w:val="en-US"/>
              </w:rPr>
              <w:t xml:space="preserve"> information criterion = -27240</w:t>
            </w:r>
            <w:r w:rsidR="00BB60E3" w:rsidRPr="00474548">
              <w:rPr>
                <w:color w:val="000000"/>
                <w:sz w:val="20"/>
                <w:szCs w:val="20"/>
                <w:lang w:val="en-US"/>
              </w:rPr>
              <w:t>.</w:t>
            </w:r>
            <w:r w:rsidRPr="00474548">
              <w:rPr>
                <w:color w:val="000000"/>
                <w:sz w:val="20"/>
                <w:szCs w:val="20"/>
                <w:lang w:val="en-US"/>
              </w:rPr>
              <w:t>5</w:t>
            </w:r>
          </w:p>
        </w:tc>
      </w:tr>
      <w:tr w:rsidR="005B605A" w:rsidRPr="00474548" w14:paraId="392E0C44" w14:textId="77777777" w:rsidTr="00AB10E8">
        <w:trPr>
          <w:trHeight w:val="255"/>
        </w:trPr>
        <w:tc>
          <w:tcPr>
            <w:tcW w:w="2480" w:type="pct"/>
            <w:gridSpan w:val="3"/>
            <w:shd w:val="clear" w:color="auto" w:fill="auto"/>
            <w:noWrap/>
            <w:vAlign w:val="center"/>
            <w:hideMark/>
          </w:tcPr>
          <w:p w14:paraId="24E4A6A8" w14:textId="3C9210E0" w:rsidR="005B605A" w:rsidRPr="00474548" w:rsidRDefault="005B605A" w:rsidP="008E6F8E">
            <w:pPr>
              <w:rPr>
                <w:rFonts w:eastAsia="Times New Roman"/>
                <w:color w:val="000000"/>
                <w:sz w:val="20"/>
                <w:szCs w:val="20"/>
                <w:lang w:val="en-US"/>
              </w:rPr>
            </w:pPr>
            <w:r w:rsidRPr="00474548">
              <w:rPr>
                <w:color w:val="000000"/>
                <w:sz w:val="20"/>
                <w:szCs w:val="20"/>
                <w:lang w:val="en-US"/>
              </w:rPr>
              <w:t>Sum of square residues = 0</w:t>
            </w:r>
            <w:r w:rsidR="00BB60E3" w:rsidRPr="00474548">
              <w:rPr>
                <w:color w:val="000000"/>
                <w:sz w:val="20"/>
                <w:szCs w:val="20"/>
                <w:lang w:val="en-US"/>
              </w:rPr>
              <w:t>.</w:t>
            </w:r>
            <w:r w:rsidRPr="00474548">
              <w:rPr>
                <w:color w:val="000000"/>
                <w:sz w:val="20"/>
                <w:szCs w:val="20"/>
                <w:lang w:val="en-US"/>
              </w:rPr>
              <w:t>57303</w:t>
            </w:r>
          </w:p>
        </w:tc>
        <w:tc>
          <w:tcPr>
            <w:tcW w:w="2520" w:type="pct"/>
            <w:gridSpan w:val="3"/>
            <w:shd w:val="clear" w:color="auto" w:fill="auto"/>
            <w:noWrap/>
            <w:vAlign w:val="center"/>
            <w:hideMark/>
          </w:tcPr>
          <w:p w14:paraId="72DA3B9E" w14:textId="4A9E306D" w:rsidR="005B605A" w:rsidRPr="00474548" w:rsidRDefault="005B605A" w:rsidP="008E6F8E">
            <w:pPr>
              <w:rPr>
                <w:rFonts w:eastAsia="Times New Roman"/>
                <w:color w:val="000000"/>
                <w:sz w:val="20"/>
                <w:szCs w:val="20"/>
                <w:lang w:val="en-US"/>
              </w:rPr>
            </w:pPr>
            <w:r w:rsidRPr="00474548">
              <w:rPr>
                <w:color w:val="000000"/>
                <w:sz w:val="20"/>
                <w:szCs w:val="20"/>
                <w:lang w:val="en-US"/>
              </w:rPr>
              <w:t>Schwarz's Bayesian Criterion = -27221</w:t>
            </w:r>
            <w:r w:rsidR="00BB60E3" w:rsidRPr="00474548">
              <w:rPr>
                <w:color w:val="000000"/>
                <w:sz w:val="20"/>
                <w:szCs w:val="20"/>
                <w:lang w:val="en-US"/>
              </w:rPr>
              <w:t>.</w:t>
            </w:r>
            <w:r w:rsidRPr="00474548">
              <w:rPr>
                <w:color w:val="000000"/>
                <w:sz w:val="20"/>
                <w:szCs w:val="20"/>
                <w:lang w:val="en-US"/>
              </w:rPr>
              <w:t>3</w:t>
            </w:r>
          </w:p>
        </w:tc>
      </w:tr>
      <w:tr w:rsidR="005B605A" w:rsidRPr="00474548" w14:paraId="64A4384B" w14:textId="77777777" w:rsidTr="00AB10E8">
        <w:trPr>
          <w:trHeight w:val="255"/>
        </w:trPr>
        <w:tc>
          <w:tcPr>
            <w:tcW w:w="2480" w:type="pct"/>
            <w:gridSpan w:val="3"/>
            <w:shd w:val="clear" w:color="auto" w:fill="auto"/>
            <w:noWrap/>
            <w:vAlign w:val="center"/>
            <w:hideMark/>
          </w:tcPr>
          <w:p w14:paraId="36996DE3" w14:textId="31B49147" w:rsidR="005B605A" w:rsidRPr="00474548" w:rsidRDefault="005B605A" w:rsidP="008E6F8E">
            <w:pPr>
              <w:rPr>
                <w:rFonts w:eastAsia="Times New Roman"/>
                <w:color w:val="000000"/>
                <w:sz w:val="20"/>
                <w:szCs w:val="20"/>
                <w:lang w:val="en-US"/>
              </w:rPr>
            </w:pPr>
            <w:r w:rsidRPr="00474548">
              <w:rPr>
                <w:color w:val="000000"/>
                <w:sz w:val="20"/>
                <w:szCs w:val="20"/>
                <w:lang w:val="en-US"/>
              </w:rPr>
              <w:t>Standard error of residues = 0</w:t>
            </w:r>
            <w:r w:rsidR="00BB60E3" w:rsidRPr="00474548">
              <w:rPr>
                <w:color w:val="000000"/>
                <w:sz w:val="20"/>
                <w:szCs w:val="20"/>
                <w:lang w:val="en-US"/>
              </w:rPr>
              <w:t>.</w:t>
            </w:r>
            <w:r w:rsidRPr="00474548">
              <w:rPr>
                <w:color w:val="000000"/>
                <w:sz w:val="20"/>
                <w:szCs w:val="20"/>
                <w:lang w:val="en-US"/>
              </w:rPr>
              <w:t>011349</w:t>
            </w:r>
          </w:p>
        </w:tc>
        <w:tc>
          <w:tcPr>
            <w:tcW w:w="2520" w:type="pct"/>
            <w:gridSpan w:val="3"/>
            <w:shd w:val="clear" w:color="auto" w:fill="auto"/>
            <w:noWrap/>
            <w:vAlign w:val="center"/>
            <w:hideMark/>
          </w:tcPr>
          <w:p w14:paraId="3719677F" w14:textId="773615CD"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Hannan</w:t>
            </w:r>
            <w:proofErr w:type="spellEnd"/>
            <w:r w:rsidRPr="00474548">
              <w:rPr>
                <w:color w:val="000000"/>
                <w:sz w:val="20"/>
                <w:szCs w:val="20"/>
                <w:lang w:val="en-US"/>
              </w:rPr>
              <w:t>-Quinn Criterion = -27233</w:t>
            </w:r>
            <w:r w:rsidR="00BB60E3" w:rsidRPr="00474548">
              <w:rPr>
                <w:color w:val="000000"/>
                <w:sz w:val="20"/>
                <w:szCs w:val="20"/>
                <w:lang w:val="en-US"/>
              </w:rPr>
              <w:t>.</w:t>
            </w:r>
            <w:r w:rsidRPr="00474548">
              <w:rPr>
                <w:color w:val="000000"/>
                <w:sz w:val="20"/>
                <w:szCs w:val="20"/>
                <w:lang w:val="en-US"/>
              </w:rPr>
              <w:t>7</w:t>
            </w:r>
          </w:p>
        </w:tc>
      </w:tr>
      <w:tr w:rsidR="005B605A" w:rsidRPr="00474548" w14:paraId="454D9485" w14:textId="77777777" w:rsidTr="00AB10E8">
        <w:trPr>
          <w:trHeight w:val="285"/>
        </w:trPr>
        <w:tc>
          <w:tcPr>
            <w:tcW w:w="2480" w:type="pct"/>
            <w:gridSpan w:val="3"/>
            <w:shd w:val="clear" w:color="auto" w:fill="auto"/>
            <w:noWrap/>
            <w:vAlign w:val="center"/>
            <w:hideMark/>
          </w:tcPr>
          <w:p w14:paraId="0B108831" w14:textId="70EF3E79"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not adjusted = 0</w:t>
            </w:r>
            <w:r w:rsidR="00BB60E3" w:rsidRPr="00474548">
              <w:rPr>
                <w:color w:val="000000"/>
                <w:sz w:val="20"/>
                <w:szCs w:val="20"/>
                <w:lang w:val="en-US"/>
              </w:rPr>
              <w:t>.</w:t>
            </w:r>
            <w:r w:rsidRPr="00474548">
              <w:rPr>
                <w:color w:val="000000"/>
                <w:sz w:val="20"/>
                <w:szCs w:val="20"/>
                <w:lang w:val="en-US"/>
              </w:rPr>
              <w:t>656716</w:t>
            </w:r>
          </w:p>
        </w:tc>
        <w:tc>
          <w:tcPr>
            <w:tcW w:w="2520" w:type="pct"/>
            <w:gridSpan w:val="3"/>
            <w:shd w:val="clear" w:color="auto" w:fill="auto"/>
            <w:noWrap/>
            <w:vAlign w:val="center"/>
            <w:hideMark/>
          </w:tcPr>
          <w:p w14:paraId="14456558"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LM test for autocorrelation up to order 5 -</w:t>
            </w:r>
          </w:p>
        </w:tc>
      </w:tr>
      <w:tr w:rsidR="005B605A" w:rsidRPr="00474548" w14:paraId="01EC8209" w14:textId="77777777" w:rsidTr="00AB10E8">
        <w:trPr>
          <w:trHeight w:val="285"/>
        </w:trPr>
        <w:tc>
          <w:tcPr>
            <w:tcW w:w="2480" w:type="pct"/>
            <w:gridSpan w:val="3"/>
            <w:shd w:val="clear" w:color="auto" w:fill="auto"/>
            <w:noWrap/>
            <w:vAlign w:val="center"/>
            <w:hideMark/>
          </w:tcPr>
          <w:p w14:paraId="4C478AF5" w14:textId="253CA277"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adjusted = 0</w:t>
            </w:r>
            <w:r w:rsidR="00BB60E3" w:rsidRPr="00474548">
              <w:rPr>
                <w:color w:val="000000"/>
                <w:sz w:val="20"/>
                <w:szCs w:val="20"/>
                <w:lang w:val="en-US"/>
              </w:rPr>
              <w:t>.</w:t>
            </w:r>
            <w:r w:rsidRPr="00474548">
              <w:rPr>
                <w:color w:val="000000"/>
                <w:sz w:val="20"/>
                <w:szCs w:val="20"/>
                <w:lang w:val="en-US"/>
              </w:rPr>
              <w:t>656562</w:t>
            </w:r>
          </w:p>
        </w:tc>
        <w:tc>
          <w:tcPr>
            <w:tcW w:w="2520" w:type="pct"/>
            <w:gridSpan w:val="3"/>
            <w:shd w:val="clear" w:color="auto" w:fill="auto"/>
            <w:noWrap/>
            <w:vAlign w:val="center"/>
            <w:hideMark/>
          </w:tcPr>
          <w:p w14:paraId="6FAAAE45"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Null hypotheses: without autocorrelation</w:t>
            </w:r>
          </w:p>
        </w:tc>
      </w:tr>
      <w:tr w:rsidR="005B605A" w:rsidRPr="00474548" w14:paraId="5998686D" w14:textId="77777777" w:rsidTr="00AB10E8">
        <w:trPr>
          <w:trHeight w:val="255"/>
        </w:trPr>
        <w:tc>
          <w:tcPr>
            <w:tcW w:w="2480" w:type="pct"/>
            <w:gridSpan w:val="3"/>
            <w:shd w:val="clear" w:color="auto" w:fill="auto"/>
            <w:noWrap/>
            <w:vAlign w:val="center"/>
            <w:hideMark/>
          </w:tcPr>
          <w:p w14:paraId="69453536"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Statistics-F (2.4449) = 4255.56 (p-value &lt; 0.00001)</w:t>
            </w:r>
          </w:p>
        </w:tc>
        <w:tc>
          <w:tcPr>
            <w:tcW w:w="2520" w:type="pct"/>
            <w:gridSpan w:val="3"/>
            <w:shd w:val="clear" w:color="auto" w:fill="auto"/>
            <w:noWrap/>
            <w:vAlign w:val="center"/>
            <w:hideMark/>
          </w:tcPr>
          <w:p w14:paraId="1F173D53" w14:textId="09068791"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Test statistics: LMF = 1</w:t>
            </w:r>
            <w:r w:rsidR="00820C25" w:rsidRPr="00474548">
              <w:rPr>
                <w:color w:val="000000"/>
                <w:sz w:val="20"/>
                <w:szCs w:val="20"/>
                <w:lang w:val="en-US"/>
              </w:rPr>
              <w:t>.</w:t>
            </w:r>
            <w:r w:rsidRPr="00474548">
              <w:rPr>
                <w:color w:val="000000"/>
                <w:sz w:val="20"/>
                <w:szCs w:val="20"/>
                <w:lang w:val="en-US"/>
              </w:rPr>
              <w:t>42432</w:t>
            </w:r>
          </w:p>
        </w:tc>
      </w:tr>
      <w:tr w:rsidR="005B605A" w:rsidRPr="00474548" w14:paraId="0E4FBDF9" w14:textId="77777777" w:rsidTr="00AB10E8">
        <w:trPr>
          <w:trHeight w:val="255"/>
        </w:trPr>
        <w:tc>
          <w:tcPr>
            <w:tcW w:w="2480" w:type="pct"/>
            <w:gridSpan w:val="3"/>
            <w:shd w:val="clear" w:color="auto" w:fill="auto"/>
            <w:noWrap/>
            <w:vAlign w:val="center"/>
            <w:hideMark/>
          </w:tcPr>
          <w:p w14:paraId="46EAFE2E" w14:textId="22318879" w:rsidR="005B605A" w:rsidRPr="00474548" w:rsidRDefault="005B605A" w:rsidP="008E6F8E">
            <w:pPr>
              <w:rPr>
                <w:rFonts w:eastAsia="Times New Roman"/>
                <w:color w:val="000000"/>
                <w:sz w:val="20"/>
                <w:szCs w:val="20"/>
                <w:lang w:val="en-US"/>
              </w:rPr>
            </w:pPr>
            <w:r w:rsidRPr="00474548">
              <w:rPr>
                <w:color w:val="000000"/>
                <w:sz w:val="20"/>
                <w:szCs w:val="20"/>
                <w:lang w:val="en-US"/>
              </w:rPr>
              <w:t>Durbin-Watson Statistics = 2</w:t>
            </w:r>
            <w:r w:rsidR="00BB60E3" w:rsidRPr="00474548">
              <w:rPr>
                <w:color w:val="000000"/>
                <w:sz w:val="20"/>
                <w:szCs w:val="20"/>
                <w:lang w:val="en-US"/>
              </w:rPr>
              <w:t>.</w:t>
            </w:r>
            <w:r w:rsidRPr="00474548">
              <w:rPr>
                <w:color w:val="000000"/>
                <w:sz w:val="20"/>
                <w:szCs w:val="20"/>
                <w:lang w:val="en-US"/>
              </w:rPr>
              <w:t>03128</w:t>
            </w:r>
          </w:p>
        </w:tc>
        <w:tc>
          <w:tcPr>
            <w:tcW w:w="2520" w:type="pct"/>
            <w:gridSpan w:val="3"/>
            <w:shd w:val="clear" w:color="auto" w:fill="auto"/>
            <w:noWrap/>
            <w:vAlign w:val="center"/>
            <w:hideMark/>
          </w:tcPr>
          <w:p w14:paraId="402609B8" w14:textId="36629FEF"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w:t>
            </w:r>
            <w:proofErr w:type="gramStart"/>
            <w:r w:rsidRPr="00474548">
              <w:rPr>
                <w:color w:val="000000"/>
                <w:sz w:val="20"/>
                <w:szCs w:val="20"/>
                <w:lang w:val="en-US"/>
              </w:rPr>
              <w:t>with</w:t>
            </w:r>
            <w:proofErr w:type="gramEnd"/>
            <w:r w:rsidRPr="00474548">
              <w:rPr>
                <w:color w:val="000000"/>
                <w:sz w:val="20"/>
                <w:szCs w:val="20"/>
                <w:lang w:val="en-US"/>
              </w:rPr>
              <w:t xml:space="preserve"> p-value = P(F(5</w:t>
            </w:r>
            <w:r w:rsidR="00820C25" w:rsidRPr="00474548">
              <w:rPr>
                <w:color w:val="000000"/>
                <w:sz w:val="20"/>
                <w:szCs w:val="20"/>
                <w:lang w:val="en-US"/>
              </w:rPr>
              <w:t>.</w:t>
            </w:r>
            <w:r w:rsidRPr="00474548">
              <w:rPr>
                <w:color w:val="000000"/>
                <w:sz w:val="20"/>
                <w:szCs w:val="20"/>
                <w:lang w:val="en-US"/>
              </w:rPr>
              <w:t>4439) &gt; 1</w:t>
            </w:r>
            <w:r w:rsidR="00BB60E3" w:rsidRPr="00474548">
              <w:rPr>
                <w:color w:val="000000"/>
                <w:sz w:val="20"/>
                <w:szCs w:val="20"/>
                <w:lang w:val="en-US"/>
              </w:rPr>
              <w:t>.</w:t>
            </w:r>
            <w:r w:rsidRPr="00474548">
              <w:rPr>
                <w:color w:val="000000"/>
                <w:sz w:val="20"/>
                <w:szCs w:val="20"/>
                <w:lang w:val="en-US"/>
              </w:rPr>
              <w:t>42432) = 0</w:t>
            </w:r>
            <w:r w:rsidR="00BB60E3" w:rsidRPr="00474548">
              <w:rPr>
                <w:color w:val="000000"/>
                <w:sz w:val="20"/>
                <w:szCs w:val="20"/>
                <w:lang w:val="en-US"/>
              </w:rPr>
              <w:t>.</w:t>
            </w:r>
            <w:r w:rsidRPr="00474548">
              <w:rPr>
                <w:color w:val="000000"/>
                <w:sz w:val="20"/>
                <w:szCs w:val="20"/>
                <w:lang w:val="en-US"/>
              </w:rPr>
              <w:t>211988</w:t>
            </w:r>
          </w:p>
        </w:tc>
      </w:tr>
    </w:tbl>
    <w:p w14:paraId="0A421859" w14:textId="77777777" w:rsidR="005B605A" w:rsidRPr="00474548" w:rsidRDefault="005B605A" w:rsidP="008E6F8E">
      <w:pPr>
        <w:autoSpaceDE w:val="0"/>
        <w:autoSpaceDN w:val="0"/>
        <w:adjustRightInd w:val="0"/>
        <w:rPr>
          <w:color w:val="000000"/>
          <w:sz w:val="22"/>
          <w:szCs w:val="22"/>
          <w:lang w:val="en-US"/>
        </w:rPr>
      </w:pPr>
    </w:p>
    <w:p w14:paraId="144BC016" w14:textId="77777777" w:rsidR="005B605A" w:rsidRPr="00474548" w:rsidRDefault="005B605A" w:rsidP="008E6F8E">
      <w:pPr>
        <w:autoSpaceDE w:val="0"/>
        <w:autoSpaceDN w:val="0"/>
        <w:adjustRightInd w:val="0"/>
        <w:ind w:firstLine="709"/>
        <w:jc w:val="both"/>
        <w:rPr>
          <w:color w:val="000000"/>
          <w:sz w:val="22"/>
          <w:szCs w:val="22"/>
          <w:lang w:val="en-US"/>
        </w:rPr>
      </w:pPr>
    </w:p>
    <w:p w14:paraId="3914D4AC" w14:textId="5B97F027" w:rsidR="005B605A" w:rsidRPr="00474548" w:rsidRDefault="005B605A" w:rsidP="008E6F8E">
      <w:pPr>
        <w:pStyle w:val="Subtitle"/>
        <w:rPr>
          <w:rFonts w:ascii="Times New Roman" w:hAnsi="Times New Roman"/>
          <w:b/>
          <w:sz w:val="22"/>
          <w:szCs w:val="22"/>
          <w:lang w:val="en-US"/>
        </w:rPr>
      </w:pPr>
      <w:bookmarkStart w:id="24" w:name="_Toc391473726"/>
      <w:r w:rsidRPr="00474548">
        <w:rPr>
          <w:rFonts w:ascii="Times New Roman" w:hAnsi="Times New Roman"/>
          <w:b/>
          <w:sz w:val="22"/>
          <w:szCs w:val="22"/>
          <w:lang w:val="en-US"/>
        </w:rPr>
        <w:t xml:space="preserve">4.5 Second sequence of tests: a </w:t>
      </w:r>
      <w:r w:rsidRPr="00474548">
        <w:rPr>
          <w:rFonts w:ascii="Times New Roman" w:hAnsi="Times New Roman"/>
          <w:b/>
          <w:i/>
          <w:sz w:val="22"/>
          <w:szCs w:val="22"/>
          <w:lang w:val="en-US"/>
        </w:rPr>
        <w:t>dummy</w:t>
      </w:r>
      <w:r w:rsidRPr="00474548">
        <w:rPr>
          <w:rFonts w:ascii="Times New Roman" w:hAnsi="Times New Roman"/>
          <w:b/>
          <w:sz w:val="22"/>
          <w:szCs w:val="22"/>
          <w:lang w:val="en-US"/>
        </w:rPr>
        <w:t xml:space="preserve"> for each type of </w:t>
      </w:r>
      <w:r w:rsidR="00C4152F" w:rsidRPr="00474548">
        <w:rPr>
          <w:rFonts w:ascii="Times New Roman" w:hAnsi="Times New Roman"/>
          <w:b/>
          <w:sz w:val="22"/>
          <w:szCs w:val="22"/>
          <w:lang w:val="en-US"/>
        </w:rPr>
        <w:t>RC</w:t>
      </w:r>
      <w:r w:rsidR="009F2C79" w:rsidRPr="00474548">
        <w:rPr>
          <w:rFonts w:ascii="Times New Roman" w:hAnsi="Times New Roman"/>
          <w:b/>
          <w:sz w:val="22"/>
          <w:szCs w:val="22"/>
          <w:lang w:val="en-US"/>
        </w:rPr>
        <w:t xml:space="preserve"> </w:t>
      </w:r>
      <w:r w:rsidRPr="00474548">
        <w:rPr>
          <w:rFonts w:ascii="Times New Roman" w:hAnsi="Times New Roman"/>
          <w:b/>
          <w:sz w:val="22"/>
          <w:szCs w:val="22"/>
          <w:lang w:val="en-US"/>
        </w:rPr>
        <w:t>intensity of MP/Laws</w:t>
      </w:r>
      <w:bookmarkEnd w:id="24"/>
    </w:p>
    <w:p w14:paraId="12D98927" w14:textId="05D176E4" w:rsidR="005B605A" w:rsidRPr="00474548" w:rsidRDefault="005B605A" w:rsidP="008E6F8E">
      <w:pPr>
        <w:autoSpaceDE w:val="0"/>
        <w:autoSpaceDN w:val="0"/>
        <w:adjustRightInd w:val="0"/>
        <w:ind w:firstLine="720"/>
        <w:jc w:val="both"/>
        <w:rPr>
          <w:sz w:val="22"/>
          <w:szCs w:val="22"/>
          <w:lang w:val="en-US"/>
        </w:rPr>
      </w:pPr>
      <w:r w:rsidRPr="00474548">
        <w:rPr>
          <w:sz w:val="22"/>
          <w:szCs w:val="22"/>
          <w:lang w:val="en-US"/>
        </w:rPr>
        <w:t xml:space="preserve">For a second sequence of tests, events were categorized according to the </w:t>
      </w:r>
      <w:r w:rsidR="009F2C79" w:rsidRPr="00474548">
        <w:rPr>
          <w:sz w:val="22"/>
          <w:szCs w:val="22"/>
          <w:lang w:val="en-US"/>
        </w:rPr>
        <w:t xml:space="preserve">content </w:t>
      </w:r>
      <w:r w:rsidR="007F6733" w:rsidRPr="00474548">
        <w:rPr>
          <w:sz w:val="22"/>
          <w:szCs w:val="22"/>
          <w:lang w:val="en-US"/>
        </w:rPr>
        <w:t>volume</w:t>
      </w:r>
      <w:r w:rsidRPr="00474548">
        <w:rPr>
          <w:sz w:val="22"/>
          <w:szCs w:val="22"/>
          <w:lang w:val="en-US"/>
        </w:rPr>
        <w:t xml:space="preserve">. Thus, events belonging to </w:t>
      </w:r>
      <w:r w:rsidR="007F6733" w:rsidRPr="00474548">
        <w:rPr>
          <w:sz w:val="22"/>
          <w:szCs w:val="22"/>
          <w:lang w:val="en-US"/>
        </w:rPr>
        <w:t xml:space="preserve">the </w:t>
      </w:r>
      <w:r w:rsidRPr="00474548">
        <w:rPr>
          <w:sz w:val="22"/>
          <w:szCs w:val="22"/>
          <w:lang w:val="en-US"/>
        </w:rPr>
        <w:t>MP/Laws family</w:t>
      </w:r>
      <w:r w:rsidR="007F6733" w:rsidRPr="00474548">
        <w:rPr>
          <w:sz w:val="22"/>
          <w:szCs w:val="22"/>
          <w:lang w:val="en-US"/>
        </w:rPr>
        <w:t xml:space="preserve"> and the</w:t>
      </w:r>
      <w:r w:rsidRPr="00474548">
        <w:rPr>
          <w:sz w:val="22"/>
          <w:szCs w:val="22"/>
          <w:lang w:val="en-US"/>
        </w:rPr>
        <w:t xml:space="preserve"> Other Significant Events</w:t>
      </w:r>
      <w:r w:rsidR="007F6733" w:rsidRPr="00474548">
        <w:rPr>
          <w:sz w:val="22"/>
          <w:szCs w:val="22"/>
          <w:lang w:val="en-US"/>
        </w:rPr>
        <w:t xml:space="preserve"> family</w:t>
      </w:r>
      <w:r w:rsidRPr="00474548">
        <w:rPr>
          <w:sz w:val="22"/>
          <w:szCs w:val="22"/>
          <w:lang w:val="en-US"/>
        </w:rPr>
        <w:t xml:space="preserve"> were classified according to the </w:t>
      </w:r>
      <w:r w:rsidR="007F6733" w:rsidRPr="00474548">
        <w:rPr>
          <w:sz w:val="22"/>
          <w:szCs w:val="22"/>
          <w:lang w:val="en-US"/>
        </w:rPr>
        <w:t xml:space="preserve">total </w:t>
      </w:r>
      <w:r w:rsidR="009F2C79" w:rsidRPr="00474548">
        <w:rPr>
          <w:sz w:val="22"/>
          <w:szCs w:val="22"/>
          <w:lang w:val="en-US"/>
        </w:rPr>
        <w:t xml:space="preserve">content </w:t>
      </w:r>
      <w:r w:rsidRPr="00474548">
        <w:rPr>
          <w:sz w:val="22"/>
          <w:szCs w:val="22"/>
          <w:lang w:val="en-US"/>
        </w:rPr>
        <w:t xml:space="preserve">this </w:t>
      </w:r>
      <w:r w:rsidR="009F49FD" w:rsidRPr="00474548">
        <w:rPr>
          <w:sz w:val="22"/>
          <w:szCs w:val="22"/>
          <w:lang w:val="en-US"/>
        </w:rPr>
        <w:t>legislation, as shown in Table 7</w:t>
      </w:r>
      <w:r w:rsidRPr="00474548">
        <w:rPr>
          <w:sz w:val="22"/>
          <w:szCs w:val="22"/>
          <w:lang w:val="en-US"/>
        </w:rPr>
        <w:t>.</w:t>
      </w:r>
    </w:p>
    <w:p w14:paraId="78A1C254" w14:textId="77777777" w:rsidR="001809F1" w:rsidRPr="00474548" w:rsidRDefault="001809F1" w:rsidP="00876707">
      <w:pPr>
        <w:pStyle w:val="Caption"/>
        <w:spacing w:after="0"/>
        <w:rPr>
          <w:b w:val="0"/>
          <w:color w:val="auto"/>
          <w:sz w:val="22"/>
          <w:szCs w:val="22"/>
          <w:lang w:val="en-US"/>
        </w:rPr>
      </w:pPr>
    </w:p>
    <w:p w14:paraId="3E6F6254" w14:textId="50302F5E" w:rsidR="005B605A" w:rsidRPr="00474548" w:rsidRDefault="009F49FD" w:rsidP="001809F1">
      <w:pPr>
        <w:pStyle w:val="Caption"/>
        <w:spacing w:after="0"/>
        <w:rPr>
          <w:b w:val="0"/>
          <w:color w:val="auto"/>
          <w:sz w:val="22"/>
          <w:szCs w:val="22"/>
          <w:lang w:val="en-US"/>
        </w:rPr>
      </w:pPr>
      <w:r w:rsidRPr="00474548">
        <w:rPr>
          <w:b w:val="0"/>
          <w:color w:val="auto"/>
          <w:sz w:val="22"/>
          <w:szCs w:val="22"/>
          <w:lang w:val="en-US"/>
        </w:rPr>
        <w:t>Table 7</w:t>
      </w:r>
      <w:r w:rsidR="00876707" w:rsidRPr="00474548">
        <w:rPr>
          <w:b w:val="0"/>
          <w:color w:val="auto"/>
          <w:sz w:val="22"/>
          <w:szCs w:val="22"/>
          <w:lang w:val="en-US"/>
        </w:rPr>
        <w:t xml:space="preserve"> – Events rating according to the intensity of the RCs</w:t>
      </w:r>
    </w:p>
    <w:tbl>
      <w:tblPr>
        <w:tblStyle w:val="TableGrid"/>
        <w:tblW w:w="4866" w:type="pct"/>
        <w:tblLayout w:type="fixed"/>
        <w:tblLook w:val="04A0" w:firstRow="1" w:lastRow="0" w:firstColumn="1" w:lastColumn="0" w:noHBand="0" w:noVBand="1"/>
      </w:tblPr>
      <w:tblGrid>
        <w:gridCol w:w="814"/>
        <w:gridCol w:w="5215"/>
        <w:gridCol w:w="1267"/>
        <w:gridCol w:w="705"/>
        <w:gridCol w:w="987"/>
      </w:tblGrid>
      <w:tr w:rsidR="005B605A" w:rsidRPr="00474548" w14:paraId="5D0E77AD" w14:textId="77777777" w:rsidTr="00AB10E8">
        <w:tc>
          <w:tcPr>
            <w:tcW w:w="3354" w:type="pct"/>
            <w:gridSpan w:val="2"/>
            <w:shd w:val="clear" w:color="auto" w:fill="auto"/>
          </w:tcPr>
          <w:p w14:paraId="521BFD17" w14:textId="77777777" w:rsidR="005B605A" w:rsidRPr="00474548" w:rsidRDefault="005B605A" w:rsidP="008E6F8E">
            <w:pPr>
              <w:tabs>
                <w:tab w:val="left" w:pos="5710"/>
              </w:tabs>
              <w:jc w:val="center"/>
              <w:rPr>
                <w:lang w:val="en-US"/>
              </w:rPr>
            </w:pPr>
            <w:r w:rsidRPr="00474548">
              <w:rPr>
                <w:lang w:val="en-US"/>
              </w:rPr>
              <w:t>Laws</w:t>
            </w:r>
          </w:p>
        </w:tc>
        <w:tc>
          <w:tcPr>
            <w:tcW w:w="705" w:type="pct"/>
            <w:shd w:val="clear" w:color="auto" w:fill="auto"/>
          </w:tcPr>
          <w:p w14:paraId="16C94DA0" w14:textId="77777777" w:rsidR="005B605A" w:rsidRPr="00474548" w:rsidRDefault="005B605A" w:rsidP="008E6F8E">
            <w:pPr>
              <w:tabs>
                <w:tab w:val="left" w:pos="5710"/>
              </w:tabs>
              <w:jc w:val="center"/>
              <w:rPr>
                <w:lang w:val="en-US"/>
              </w:rPr>
            </w:pPr>
            <w:r w:rsidRPr="00474548">
              <w:rPr>
                <w:lang w:val="en-US"/>
              </w:rPr>
              <w:t>Intensity</w:t>
            </w:r>
          </w:p>
        </w:tc>
        <w:tc>
          <w:tcPr>
            <w:tcW w:w="392" w:type="pct"/>
            <w:shd w:val="clear" w:color="auto" w:fill="auto"/>
          </w:tcPr>
          <w:p w14:paraId="43B3A6AD" w14:textId="77777777" w:rsidR="005B605A" w:rsidRPr="00474548" w:rsidRDefault="005B605A" w:rsidP="008E6F8E">
            <w:pPr>
              <w:tabs>
                <w:tab w:val="left" w:pos="5710"/>
              </w:tabs>
              <w:jc w:val="center"/>
              <w:rPr>
                <w:lang w:val="en-US"/>
              </w:rPr>
            </w:pPr>
            <w:r w:rsidRPr="00474548">
              <w:rPr>
                <w:lang w:val="en-US"/>
              </w:rPr>
              <w:t>Type</w:t>
            </w:r>
          </w:p>
        </w:tc>
        <w:tc>
          <w:tcPr>
            <w:tcW w:w="549" w:type="pct"/>
            <w:shd w:val="clear" w:color="auto" w:fill="auto"/>
          </w:tcPr>
          <w:p w14:paraId="5E0E137C" w14:textId="77777777" w:rsidR="005B605A" w:rsidRPr="00474548" w:rsidRDefault="005B605A" w:rsidP="008E6F8E">
            <w:pPr>
              <w:tabs>
                <w:tab w:val="left" w:pos="5710"/>
              </w:tabs>
              <w:jc w:val="center"/>
              <w:rPr>
                <w:lang w:val="en-US"/>
              </w:rPr>
            </w:pPr>
            <w:r w:rsidRPr="00474548">
              <w:rPr>
                <w:lang w:val="en-US"/>
              </w:rPr>
              <w:t>Regime Change</w:t>
            </w:r>
          </w:p>
        </w:tc>
      </w:tr>
      <w:tr w:rsidR="005B605A" w:rsidRPr="00474548" w14:paraId="71BBF5D8" w14:textId="77777777" w:rsidTr="00AB10E8">
        <w:tc>
          <w:tcPr>
            <w:tcW w:w="453" w:type="pct"/>
            <w:vMerge w:val="restart"/>
            <w:shd w:val="clear" w:color="auto" w:fill="auto"/>
            <w:textDirection w:val="btLr"/>
          </w:tcPr>
          <w:p w14:paraId="0F121CD0" w14:textId="77777777" w:rsidR="005B605A" w:rsidRPr="00474548" w:rsidRDefault="005B605A" w:rsidP="008E6F8E">
            <w:pPr>
              <w:tabs>
                <w:tab w:val="left" w:pos="5710"/>
              </w:tabs>
              <w:ind w:left="113" w:right="113"/>
              <w:jc w:val="center"/>
              <w:rPr>
                <w:lang w:val="en-US"/>
              </w:rPr>
            </w:pPr>
            <w:r w:rsidRPr="00474548">
              <w:rPr>
                <w:lang w:val="en-US"/>
              </w:rPr>
              <w:t xml:space="preserve">MP/Law </w:t>
            </w:r>
          </w:p>
          <w:p w14:paraId="44E81FCB" w14:textId="77777777" w:rsidR="005B605A" w:rsidRPr="00474548" w:rsidRDefault="005B605A" w:rsidP="008E6F8E">
            <w:pPr>
              <w:tabs>
                <w:tab w:val="left" w:pos="5710"/>
              </w:tabs>
              <w:ind w:left="113" w:right="113"/>
              <w:jc w:val="center"/>
              <w:rPr>
                <w:lang w:val="en-US"/>
              </w:rPr>
            </w:pPr>
          </w:p>
        </w:tc>
        <w:tc>
          <w:tcPr>
            <w:tcW w:w="2901" w:type="pct"/>
            <w:shd w:val="clear" w:color="auto" w:fill="auto"/>
          </w:tcPr>
          <w:p w14:paraId="18188C7C" w14:textId="69FB502C" w:rsidR="005B605A" w:rsidRPr="00474548" w:rsidRDefault="005B605A" w:rsidP="008E6F8E">
            <w:pPr>
              <w:tabs>
                <w:tab w:val="left" w:pos="5710"/>
              </w:tabs>
              <w:rPr>
                <w:lang w:val="en-US"/>
              </w:rPr>
            </w:pPr>
            <w:r w:rsidRPr="00474548">
              <w:rPr>
                <w:lang w:val="en-US"/>
              </w:rPr>
              <w:t xml:space="preserve">MP145/03 and 144/03 of </w:t>
            </w:r>
            <w:r w:rsidR="007F6733" w:rsidRPr="00474548">
              <w:rPr>
                <w:lang w:val="en-US"/>
              </w:rPr>
              <w:t>12/11/2003</w:t>
            </w:r>
            <w:r w:rsidRPr="00474548">
              <w:rPr>
                <w:lang w:val="en-US"/>
              </w:rPr>
              <w:t xml:space="preserve"> and MP 579 /2013, Law 12</w:t>
            </w:r>
            <w:r w:rsidR="007F6733" w:rsidRPr="00474548">
              <w:rPr>
                <w:lang w:val="en-US"/>
              </w:rPr>
              <w:t>,</w:t>
            </w:r>
            <w:r w:rsidRPr="00474548">
              <w:rPr>
                <w:lang w:val="en-US"/>
              </w:rPr>
              <w:t xml:space="preserve">783 of </w:t>
            </w:r>
            <w:r w:rsidR="007F6733" w:rsidRPr="00474548">
              <w:rPr>
                <w:lang w:val="en-US"/>
              </w:rPr>
              <w:t>0</w:t>
            </w:r>
            <w:r w:rsidRPr="00474548">
              <w:rPr>
                <w:lang w:val="en-US"/>
              </w:rPr>
              <w:t>1/01/2013</w:t>
            </w:r>
          </w:p>
        </w:tc>
        <w:tc>
          <w:tcPr>
            <w:tcW w:w="705" w:type="pct"/>
            <w:shd w:val="clear" w:color="auto" w:fill="auto"/>
          </w:tcPr>
          <w:p w14:paraId="00D22D71" w14:textId="77777777" w:rsidR="005B605A" w:rsidRPr="00474548" w:rsidRDefault="005B605A" w:rsidP="008E6F8E">
            <w:pPr>
              <w:tabs>
                <w:tab w:val="left" w:pos="5710"/>
              </w:tabs>
              <w:jc w:val="center"/>
              <w:rPr>
                <w:lang w:val="en-US"/>
              </w:rPr>
            </w:pPr>
            <w:r w:rsidRPr="00474548">
              <w:rPr>
                <w:lang w:val="en-US"/>
              </w:rPr>
              <w:t>Strong</w:t>
            </w:r>
          </w:p>
        </w:tc>
        <w:tc>
          <w:tcPr>
            <w:tcW w:w="392" w:type="pct"/>
            <w:shd w:val="clear" w:color="auto" w:fill="auto"/>
          </w:tcPr>
          <w:p w14:paraId="1A260AF7" w14:textId="77777777" w:rsidR="005B605A" w:rsidRPr="00474548" w:rsidRDefault="005B605A" w:rsidP="008E6F8E">
            <w:pPr>
              <w:tabs>
                <w:tab w:val="left" w:pos="5710"/>
              </w:tabs>
              <w:jc w:val="center"/>
              <w:rPr>
                <w:lang w:val="en-US"/>
              </w:rPr>
            </w:pPr>
            <w:r w:rsidRPr="00474548">
              <w:rPr>
                <w:lang w:val="en-US"/>
              </w:rPr>
              <w:t>1</w:t>
            </w:r>
          </w:p>
        </w:tc>
        <w:tc>
          <w:tcPr>
            <w:tcW w:w="549" w:type="pct"/>
            <w:shd w:val="clear" w:color="auto" w:fill="auto"/>
          </w:tcPr>
          <w:p w14:paraId="407F6113" w14:textId="77777777" w:rsidR="005B605A" w:rsidRPr="00474548" w:rsidRDefault="005B605A" w:rsidP="008E6F8E">
            <w:pPr>
              <w:tabs>
                <w:tab w:val="left" w:pos="5710"/>
              </w:tabs>
              <w:jc w:val="center"/>
              <w:rPr>
                <w:lang w:val="en-US"/>
              </w:rPr>
            </w:pPr>
            <w:r w:rsidRPr="00474548">
              <w:rPr>
                <w:lang w:val="en-US"/>
              </w:rPr>
              <w:t>21 and 29</w:t>
            </w:r>
          </w:p>
        </w:tc>
      </w:tr>
      <w:tr w:rsidR="005B605A" w:rsidRPr="00474548" w14:paraId="503DCE94" w14:textId="77777777" w:rsidTr="00AB10E8">
        <w:tc>
          <w:tcPr>
            <w:tcW w:w="453" w:type="pct"/>
            <w:vMerge/>
            <w:shd w:val="clear" w:color="auto" w:fill="auto"/>
          </w:tcPr>
          <w:p w14:paraId="52D36331" w14:textId="77777777" w:rsidR="005B605A" w:rsidRPr="00474548" w:rsidRDefault="005B605A" w:rsidP="008E6F8E">
            <w:pPr>
              <w:tabs>
                <w:tab w:val="left" w:pos="5710"/>
              </w:tabs>
              <w:jc w:val="center"/>
              <w:rPr>
                <w:lang w:val="en-US"/>
              </w:rPr>
            </w:pPr>
          </w:p>
        </w:tc>
        <w:tc>
          <w:tcPr>
            <w:tcW w:w="2901" w:type="pct"/>
            <w:shd w:val="clear" w:color="auto" w:fill="auto"/>
          </w:tcPr>
          <w:p w14:paraId="1291353B" w14:textId="750714AF" w:rsidR="005B605A" w:rsidRPr="00474548" w:rsidRDefault="005B605A" w:rsidP="008E6F8E">
            <w:pPr>
              <w:tabs>
                <w:tab w:val="left" w:pos="5710"/>
              </w:tabs>
              <w:rPr>
                <w:lang w:val="en-US"/>
              </w:rPr>
            </w:pPr>
            <w:r w:rsidRPr="00474548">
              <w:rPr>
                <w:lang w:val="en-US"/>
              </w:rPr>
              <w:t>Law 8</w:t>
            </w:r>
            <w:r w:rsidR="007F6733" w:rsidRPr="00474548">
              <w:rPr>
                <w:lang w:val="en-US"/>
              </w:rPr>
              <w:t>,</w:t>
            </w:r>
            <w:r w:rsidRPr="00474548">
              <w:rPr>
                <w:lang w:val="en-US"/>
              </w:rPr>
              <w:t>987 of 1995 and Law 9</w:t>
            </w:r>
            <w:r w:rsidR="007F6733" w:rsidRPr="00474548">
              <w:rPr>
                <w:lang w:val="en-US"/>
              </w:rPr>
              <w:t>,</w:t>
            </w:r>
            <w:r w:rsidRPr="00474548">
              <w:rPr>
                <w:lang w:val="en-US"/>
              </w:rPr>
              <w:t xml:space="preserve">074 of 1995 and </w:t>
            </w:r>
            <w:r w:rsidRPr="00474548">
              <w:rPr>
                <w:rStyle w:val="nomeproposicao"/>
                <w:lang w:val="en-US"/>
              </w:rPr>
              <w:t xml:space="preserve">MP 64/2002 - </w:t>
            </w:r>
            <w:r w:rsidRPr="00474548">
              <w:rPr>
                <w:lang w:val="en-US"/>
              </w:rPr>
              <w:t>Law 10</w:t>
            </w:r>
            <w:r w:rsidR="007F6733" w:rsidRPr="00474548">
              <w:rPr>
                <w:lang w:val="en-US"/>
              </w:rPr>
              <w:t>,</w:t>
            </w:r>
            <w:r w:rsidRPr="00474548">
              <w:rPr>
                <w:lang w:val="en-US"/>
              </w:rPr>
              <w:t xml:space="preserve">604 of </w:t>
            </w:r>
            <w:r w:rsidR="007F6733" w:rsidRPr="00474548">
              <w:rPr>
                <w:lang w:val="en-US"/>
              </w:rPr>
              <w:t>12/17/2002</w:t>
            </w:r>
          </w:p>
        </w:tc>
        <w:tc>
          <w:tcPr>
            <w:tcW w:w="705" w:type="pct"/>
            <w:shd w:val="clear" w:color="auto" w:fill="auto"/>
          </w:tcPr>
          <w:p w14:paraId="67B3D785" w14:textId="77777777" w:rsidR="005B605A" w:rsidRPr="00474548" w:rsidRDefault="005B605A" w:rsidP="008E6F8E">
            <w:pPr>
              <w:tabs>
                <w:tab w:val="left" w:pos="5710"/>
              </w:tabs>
              <w:jc w:val="center"/>
              <w:rPr>
                <w:lang w:val="en-US"/>
              </w:rPr>
            </w:pPr>
            <w:r w:rsidRPr="00474548">
              <w:rPr>
                <w:lang w:val="en-US"/>
              </w:rPr>
              <w:t>Average</w:t>
            </w:r>
          </w:p>
        </w:tc>
        <w:tc>
          <w:tcPr>
            <w:tcW w:w="392" w:type="pct"/>
            <w:shd w:val="clear" w:color="auto" w:fill="auto"/>
          </w:tcPr>
          <w:p w14:paraId="79600745" w14:textId="77777777" w:rsidR="005B605A" w:rsidRPr="00474548" w:rsidRDefault="005B605A" w:rsidP="008E6F8E">
            <w:pPr>
              <w:tabs>
                <w:tab w:val="left" w:pos="5710"/>
              </w:tabs>
              <w:jc w:val="center"/>
              <w:rPr>
                <w:lang w:val="en-US"/>
              </w:rPr>
            </w:pPr>
            <w:r w:rsidRPr="00474548">
              <w:rPr>
                <w:lang w:val="en-US"/>
              </w:rPr>
              <w:t>2</w:t>
            </w:r>
          </w:p>
        </w:tc>
        <w:tc>
          <w:tcPr>
            <w:tcW w:w="549" w:type="pct"/>
            <w:shd w:val="clear" w:color="auto" w:fill="auto"/>
          </w:tcPr>
          <w:p w14:paraId="7403C8DD" w14:textId="195FB23A" w:rsidR="005B605A" w:rsidRPr="00474548" w:rsidRDefault="005B605A" w:rsidP="008E6F8E">
            <w:pPr>
              <w:tabs>
                <w:tab w:val="left" w:pos="5710"/>
              </w:tabs>
              <w:jc w:val="center"/>
              <w:rPr>
                <w:lang w:val="en-US"/>
              </w:rPr>
            </w:pPr>
            <w:r w:rsidRPr="00474548">
              <w:rPr>
                <w:lang w:val="en-US"/>
              </w:rPr>
              <w:t>2, 3</w:t>
            </w:r>
            <w:r w:rsidR="007F6733" w:rsidRPr="00474548">
              <w:rPr>
                <w:lang w:val="en-US"/>
              </w:rPr>
              <w:t>,</w:t>
            </w:r>
            <w:r w:rsidRPr="00474548">
              <w:rPr>
                <w:lang w:val="en-US"/>
              </w:rPr>
              <w:t xml:space="preserve"> and 17</w:t>
            </w:r>
          </w:p>
        </w:tc>
      </w:tr>
      <w:tr w:rsidR="005B605A" w:rsidRPr="00474548" w14:paraId="181B3836" w14:textId="77777777" w:rsidTr="00AB10E8">
        <w:tc>
          <w:tcPr>
            <w:tcW w:w="453" w:type="pct"/>
            <w:vMerge/>
            <w:shd w:val="clear" w:color="auto" w:fill="auto"/>
          </w:tcPr>
          <w:p w14:paraId="6E2AED30" w14:textId="77777777" w:rsidR="005B605A" w:rsidRPr="00474548" w:rsidRDefault="005B605A" w:rsidP="008E6F8E">
            <w:pPr>
              <w:tabs>
                <w:tab w:val="left" w:pos="5710"/>
              </w:tabs>
              <w:jc w:val="center"/>
              <w:rPr>
                <w:lang w:val="en-US"/>
              </w:rPr>
            </w:pPr>
          </w:p>
        </w:tc>
        <w:tc>
          <w:tcPr>
            <w:tcW w:w="2901" w:type="pct"/>
            <w:shd w:val="clear" w:color="auto" w:fill="auto"/>
          </w:tcPr>
          <w:p w14:paraId="7FDA3A14" w14:textId="2BB162CE" w:rsidR="005B605A" w:rsidRPr="00474548" w:rsidRDefault="00BB60E3" w:rsidP="008E6F8E">
            <w:pPr>
              <w:tabs>
                <w:tab w:val="left" w:pos="5710"/>
              </w:tabs>
              <w:rPr>
                <w:lang w:val="en-US"/>
              </w:rPr>
            </w:pPr>
            <w:r w:rsidRPr="00474548">
              <w:rPr>
                <w:lang w:val="en-US"/>
              </w:rPr>
              <w:t xml:space="preserve">Law </w:t>
            </w:r>
            <w:r w:rsidR="005B605A" w:rsidRPr="00474548">
              <w:rPr>
                <w:lang w:val="en-US"/>
              </w:rPr>
              <w:t>9</w:t>
            </w:r>
            <w:r w:rsidR="007F6733" w:rsidRPr="00474548">
              <w:rPr>
                <w:lang w:val="en-US"/>
              </w:rPr>
              <w:t>,</w:t>
            </w:r>
            <w:r w:rsidR="005B605A" w:rsidRPr="00474548">
              <w:rPr>
                <w:lang w:val="en-US"/>
              </w:rPr>
              <w:t>648 of 1998</w:t>
            </w:r>
          </w:p>
        </w:tc>
        <w:tc>
          <w:tcPr>
            <w:tcW w:w="705" w:type="pct"/>
            <w:shd w:val="clear" w:color="auto" w:fill="auto"/>
          </w:tcPr>
          <w:p w14:paraId="71F303FA" w14:textId="77777777" w:rsidR="005B605A" w:rsidRPr="00474548" w:rsidRDefault="005B605A" w:rsidP="008E6F8E">
            <w:pPr>
              <w:tabs>
                <w:tab w:val="left" w:pos="5710"/>
              </w:tabs>
              <w:jc w:val="center"/>
              <w:rPr>
                <w:lang w:val="en-US"/>
              </w:rPr>
            </w:pPr>
            <w:r w:rsidRPr="00474548">
              <w:rPr>
                <w:lang w:val="en-US"/>
              </w:rPr>
              <w:t>Low</w:t>
            </w:r>
          </w:p>
        </w:tc>
        <w:tc>
          <w:tcPr>
            <w:tcW w:w="392" w:type="pct"/>
            <w:shd w:val="clear" w:color="auto" w:fill="auto"/>
          </w:tcPr>
          <w:p w14:paraId="12EC919F" w14:textId="77777777" w:rsidR="005B605A" w:rsidRPr="00474548" w:rsidRDefault="005B605A" w:rsidP="008E6F8E">
            <w:pPr>
              <w:tabs>
                <w:tab w:val="left" w:pos="5710"/>
              </w:tabs>
              <w:jc w:val="center"/>
              <w:rPr>
                <w:lang w:val="en-US"/>
              </w:rPr>
            </w:pPr>
            <w:r w:rsidRPr="00474548">
              <w:rPr>
                <w:lang w:val="en-US"/>
              </w:rPr>
              <w:t>3</w:t>
            </w:r>
          </w:p>
        </w:tc>
        <w:tc>
          <w:tcPr>
            <w:tcW w:w="549" w:type="pct"/>
            <w:shd w:val="clear" w:color="auto" w:fill="auto"/>
          </w:tcPr>
          <w:p w14:paraId="189B47B9" w14:textId="77777777" w:rsidR="005B605A" w:rsidRPr="00474548" w:rsidRDefault="005B605A" w:rsidP="008E6F8E">
            <w:pPr>
              <w:tabs>
                <w:tab w:val="left" w:pos="5710"/>
              </w:tabs>
              <w:jc w:val="center"/>
              <w:rPr>
                <w:lang w:val="en-US"/>
              </w:rPr>
            </w:pPr>
            <w:r w:rsidRPr="00474548">
              <w:rPr>
                <w:lang w:val="en-US"/>
              </w:rPr>
              <w:t xml:space="preserve">9 </w:t>
            </w:r>
          </w:p>
        </w:tc>
      </w:tr>
      <w:tr w:rsidR="005B605A" w:rsidRPr="00474548" w14:paraId="6335E96A" w14:textId="77777777" w:rsidTr="00AB10E8">
        <w:tc>
          <w:tcPr>
            <w:tcW w:w="453" w:type="pct"/>
            <w:vMerge w:val="restart"/>
            <w:textDirection w:val="btLr"/>
          </w:tcPr>
          <w:p w14:paraId="67482557" w14:textId="77777777" w:rsidR="005B605A" w:rsidRPr="00474548" w:rsidRDefault="005B605A" w:rsidP="008E6F8E">
            <w:pPr>
              <w:tabs>
                <w:tab w:val="left" w:pos="5710"/>
              </w:tabs>
              <w:ind w:left="113" w:right="113"/>
              <w:jc w:val="center"/>
              <w:rPr>
                <w:lang w:val="en-US"/>
              </w:rPr>
            </w:pPr>
            <w:r w:rsidRPr="00474548">
              <w:rPr>
                <w:lang w:val="en-US"/>
              </w:rPr>
              <w:t>Other Significant Events</w:t>
            </w:r>
          </w:p>
        </w:tc>
        <w:tc>
          <w:tcPr>
            <w:tcW w:w="2901" w:type="pct"/>
          </w:tcPr>
          <w:p w14:paraId="55CD5D83" w14:textId="4F283B99" w:rsidR="005B605A" w:rsidRPr="00474548" w:rsidRDefault="00820C25" w:rsidP="008E6F8E">
            <w:pPr>
              <w:tabs>
                <w:tab w:val="left" w:pos="5710"/>
              </w:tabs>
              <w:rPr>
                <w:lang w:val="en-US"/>
              </w:rPr>
            </w:pPr>
            <w:proofErr w:type="spellStart"/>
            <w:r w:rsidRPr="00474548">
              <w:rPr>
                <w:lang w:val="en-US"/>
              </w:rPr>
              <w:t>Aneel</w:t>
            </w:r>
            <w:proofErr w:type="spellEnd"/>
            <w:r w:rsidRPr="00474548">
              <w:rPr>
                <w:lang w:val="en-US"/>
              </w:rPr>
              <w:t xml:space="preserve">. </w:t>
            </w:r>
            <w:r w:rsidR="005B605A" w:rsidRPr="00474548">
              <w:rPr>
                <w:lang w:val="en-US"/>
              </w:rPr>
              <w:t>Res. 152/2003; Decree 4</w:t>
            </w:r>
            <w:r w:rsidR="007F6733" w:rsidRPr="00474548">
              <w:rPr>
                <w:lang w:val="en-US"/>
              </w:rPr>
              <w:t>,</w:t>
            </w:r>
            <w:r w:rsidR="005B605A" w:rsidRPr="00474548">
              <w:rPr>
                <w:lang w:val="en-US"/>
              </w:rPr>
              <w:t>667/2003</w:t>
            </w:r>
          </w:p>
        </w:tc>
        <w:tc>
          <w:tcPr>
            <w:tcW w:w="705" w:type="pct"/>
          </w:tcPr>
          <w:p w14:paraId="42893B70" w14:textId="77777777" w:rsidR="005B605A" w:rsidRPr="00474548" w:rsidRDefault="005B605A" w:rsidP="008E6F8E">
            <w:pPr>
              <w:tabs>
                <w:tab w:val="left" w:pos="5710"/>
              </w:tabs>
              <w:jc w:val="center"/>
              <w:rPr>
                <w:lang w:val="en-US"/>
              </w:rPr>
            </w:pPr>
            <w:r w:rsidRPr="00474548">
              <w:rPr>
                <w:lang w:val="en-US"/>
              </w:rPr>
              <w:t>Strong</w:t>
            </w:r>
          </w:p>
        </w:tc>
        <w:tc>
          <w:tcPr>
            <w:tcW w:w="392" w:type="pct"/>
          </w:tcPr>
          <w:p w14:paraId="25BA1127" w14:textId="77777777" w:rsidR="005B605A" w:rsidRPr="00474548" w:rsidRDefault="005B605A" w:rsidP="008E6F8E">
            <w:pPr>
              <w:tabs>
                <w:tab w:val="left" w:pos="5710"/>
              </w:tabs>
              <w:jc w:val="center"/>
              <w:rPr>
                <w:lang w:val="en-US"/>
              </w:rPr>
            </w:pPr>
            <w:r w:rsidRPr="00474548">
              <w:rPr>
                <w:lang w:val="en-US"/>
              </w:rPr>
              <w:t>1</w:t>
            </w:r>
          </w:p>
        </w:tc>
        <w:tc>
          <w:tcPr>
            <w:tcW w:w="549" w:type="pct"/>
          </w:tcPr>
          <w:p w14:paraId="6E30DA5C" w14:textId="77777777" w:rsidR="005B605A" w:rsidRPr="00474548" w:rsidRDefault="005B605A" w:rsidP="008E6F8E">
            <w:pPr>
              <w:tabs>
                <w:tab w:val="left" w:pos="5710"/>
              </w:tabs>
              <w:jc w:val="center"/>
              <w:rPr>
                <w:lang w:val="en-US"/>
              </w:rPr>
            </w:pPr>
            <w:r w:rsidRPr="00474548">
              <w:rPr>
                <w:lang w:val="en-US"/>
              </w:rPr>
              <w:t>19</w:t>
            </w:r>
          </w:p>
        </w:tc>
      </w:tr>
      <w:tr w:rsidR="005B605A" w:rsidRPr="00474548" w14:paraId="1DF83557" w14:textId="77777777" w:rsidTr="00AB10E8">
        <w:tc>
          <w:tcPr>
            <w:tcW w:w="453" w:type="pct"/>
            <w:vMerge/>
          </w:tcPr>
          <w:p w14:paraId="26487A3A" w14:textId="77777777" w:rsidR="005B605A" w:rsidRPr="00474548" w:rsidRDefault="005B605A" w:rsidP="008E6F8E">
            <w:pPr>
              <w:tabs>
                <w:tab w:val="left" w:pos="5710"/>
              </w:tabs>
              <w:rPr>
                <w:lang w:val="en-US"/>
              </w:rPr>
            </w:pPr>
          </w:p>
        </w:tc>
        <w:tc>
          <w:tcPr>
            <w:tcW w:w="2901" w:type="pct"/>
          </w:tcPr>
          <w:p w14:paraId="4585BA11" w14:textId="24E2C962" w:rsidR="005B605A" w:rsidRPr="00474548" w:rsidRDefault="005B605A" w:rsidP="008E6F8E">
            <w:pPr>
              <w:tabs>
                <w:tab w:val="left" w:pos="5710"/>
              </w:tabs>
              <w:rPr>
                <w:lang w:val="en-US"/>
              </w:rPr>
            </w:pPr>
            <w:r w:rsidRPr="00474548">
              <w:rPr>
                <w:lang w:val="en-US"/>
              </w:rPr>
              <w:t xml:space="preserve">Res. Norm. 001/2004; Res. Norm. 062/2004; Decree 5081/2004; Res. Norm. 210/2006; Res. Norm. 491/2012; Res. </w:t>
            </w:r>
            <w:proofErr w:type="spellStart"/>
            <w:r w:rsidRPr="00474548">
              <w:rPr>
                <w:lang w:val="en-US"/>
              </w:rPr>
              <w:t>Hom</w:t>
            </w:r>
            <w:proofErr w:type="spellEnd"/>
            <w:r w:rsidRPr="00474548">
              <w:rPr>
                <w:lang w:val="en-US"/>
              </w:rPr>
              <w:t>. 1</w:t>
            </w:r>
            <w:r w:rsidR="007F6733" w:rsidRPr="00474548">
              <w:rPr>
                <w:lang w:val="en-US"/>
              </w:rPr>
              <w:t>,</w:t>
            </w:r>
            <w:r w:rsidRPr="00474548">
              <w:rPr>
                <w:lang w:val="en-US"/>
              </w:rPr>
              <w:t>316/ 2012</w:t>
            </w:r>
          </w:p>
        </w:tc>
        <w:tc>
          <w:tcPr>
            <w:tcW w:w="705" w:type="pct"/>
          </w:tcPr>
          <w:p w14:paraId="36400474" w14:textId="77777777" w:rsidR="005B605A" w:rsidRPr="00474548" w:rsidRDefault="005B605A" w:rsidP="008E6F8E">
            <w:pPr>
              <w:tabs>
                <w:tab w:val="left" w:pos="5710"/>
              </w:tabs>
              <w:jc w:val="center"/>
              <w:rPr>
                <w:lang w:val="en-US"/>
              </w:rPr>
            </w:pPr>
            <w:r w:rsidRPr="00474548">
              <w:rPr>
                <w:lang w:val="en-US"/>
              </w:rPr>
              <w:t>Average</w:t>
            </w:r>
          </w:p>
        </w:tc>
        <w:tc>
          <w:tcPr>
            <w:tcW w:w="392" w:type="pct"/>
          </w:tcPr>
          <w:p w14:paraId="50F7ADA8" w14:textId="77777777" w:rsidR="005B605A" w:rsidRPr="00474548" w:rsidRDefault="005B605A" w:rsidP="008E6F8E">
            <w:pPr>
              <w:tabs>
                <w:tab w:val="left" w:pos="5710"/>
              </w:tabs>
              <w:jc w:val="center"/>
              <w:rPr>
                <w:lang w:val="en-US"/>
              </w:rPr>
            </w:pPr>
            <w:r w:rsidRPr="00474548">
              <w:rPr>
                <w:lang w:val="en-US"/>
              </w:rPr>
              <w:t>2</w:t>
            </w:r>
          </w:p>
        </w:tc>
        <w:tc>
          <w:tcPr>
            <w:tcW w:w="549" w:type="pct"/>
          </w:tcPr>
          <w:p w14:paraId="48CDE5DD" w14:textId="2B548287" w:rsidR="005B605A" w:rsidRPr="00474548" w:rsidRDefault="005B605A" w:rsidP="008E6F8E">
            <w:pPr>
              <w:tabs>
                <w:tab w:val="left" w:pos="5710"/>
              </w:tabs>
              <w:jc w:val="center"/>
              <w:rPr>
                <w:lang w:val="en-US"/>
              </w:rPr>
            </w:pPr>
            <w:r w:rsidRPr="00474548">
              <w:rPr>
                <w:lang w:val="en-US"/>
              </w:rPr>
              <w:t>22, 23</w:t>
            </w:r>
            <w:r w:rsidR="007F6733" w:rsidRPr="00474548">
              <w:rPr>
                <w:lang w:val="en-US"/>
              </w:rPr>
              <w:t xml:space="preserve">, </w:t>
            </w:r>
            <w:r w:rsidRPr="00474548">
              <w:rPr>
                <w:lang w:val="en-US"/>
              </w:rPr>
              <w:t>25</w:t>
            </w:r>
            <w:r w:rsidR="007F6733" w:rsidRPr="00474548">
              <w:rPr>
                <w:lang w:val="en-US"/>
              </w:rPr>
              <w:t>,</w:t>
            </w:r>
            <w:r w:rsidRPr="00474548">
              <w:rPr>
                <w:lang w:val="en-US"/>
              </w:rPr>
              <w:t xml:space="preserve"> and 28</w:t>
            </w:r>
          </w:p>
        </w:tc>
      </w:tr>
      <w:tr w:rsidR="005B605A" w:rsidRPr="00474548" w14:paraId="764F658B" w14:textId="77777777" w:rsidTr="00AB10E8">
        <w:trPr>
          <w:trHeight w:val="295"/>
        </w:trPr>
        <w:tc>
          <w:tcPr>
            <w:tcW w:w="453" w:type="pct"/>
            <w:vMerge/>
          </w:tcPr>
          <w:p w14:paraId="56230D37" w14:textId="77777777" w:rsidR="005B605A" w:rsidRPr="00474548" w:rsidRDefault="005B605A" w:rsidP="008E6F8E">
            <w:pPr>
              <w:tabs>
                <w:tab w:val="left" w:pos="5710"/>
              </w:tabs>
              <w:rPr>
                <w:rFonts w:eastAsia="Times New Roman"/>
                <w:lang w:val="en-US"/>
              </w:rPr>
            </w:pPr>
          </w:p>
        </w:tc>
        <w:tc>
          <w:tcPr>
            <w:tcW w:w="2901" w:type="pct"/>
          </w:tcPr>
          <w:p w14:paraId="19BEE32E" w14:textId="751E263B" w:rsidR="005B605A" w:rsidRPr="00474548" w:rsidRDefault="005B605A" w:rsidP="008E6F8E">
            <w:pPr>
              <w:tabs>
                <w:tab w:val="left" w:pos="5710"/>
              </w:tabs>
              <w:rPr>
                <w:rFonts w:eastAsia="Times New Roman"/>
                <w:lang w:val="en-US"/>
              </w:rPr>
            </w:pPr>
            <w:r w:rsidRPr="00474548">
              <w:rPr>
                <w:lang w:val="en-US"/>
              </w:rPr>
              <w:t xml:space="preserve">Ordinance 267/1995; Resolution 273/1998; </w:t>
            </w:r>
            <w:proofErr w:type="spellStart"/>
            <w:r w:rsidRPr="00474548">
              <w:rPr>
                <w:lang w:val="en-US"/>
              </w:rPr>
              <w:t>Interministerial</w:t>
            </w:r>
            <w:proofErr w:type="spellEnd"/>
            <w:r w:rsidRPr="00474548">
              <w:rPr>
                <w:lang w:val="en-US"/>
              </w:rPr>
              <w:t xml:space="preserve"> </w:t>
            </w:r>
            <w:r w:rsidR="00BB60E3" w:rsidRPr="00474548">
              <w:rPr>
                <w:lang w:val="en-US"/>
              </w:rPr>
              <w:t xml:space="preserve">Ord. </w:t>
            </w:r>
            <w:r w:rsidRPr="00474548">
              <w:rPr>
                <w:lang w:val="en-US"/>
              </w:rPr>
              <w:t xml:space="preserve">281/1998; </w:t>
            </w:r>
            <w:proofErr w:type="spellStart"/>
            <w:r w:rsidR="00BB60E3" w:rsidRPr="00474548">
              <w:rPr>
                <w:lang w:val="en-US"/>
              </w:rPr>
              <w:t>Interministerial</w:t>
            </w:r>
            <w:proofErr w:type="spellEnd"/>
            <w:r w:rsidR="00BB60E3" w:rsidRPr="00474548">
              <w:rPr>
                <w:lang w:val="en-US"/>
              </w:rPr>
              <w:t xml:space="preserve"> </w:t>
            </w:r>
            <w:r w:rsidRPr="00474548">
              <w:rPr>
                <w:lang w:val="en-US"/>
              </w:rPr>
              <w:t>Res. 102/2002; Res. 459/2003</w:t>
            </w:r>
          </w:p>
        </w:tc>
        <w:tc>
          <w:tcPr>
            <w:tcW w:w="705" w:type="pct"/>
          </w:tcPr>
          <w:p w14:paraId="4B1E1A47" w14:textId="77777777" w:rsidR="005B605A" w:rsidRPr="00474548" w:rsidRDefault="005B605A" w:rsidP="008E6F8E">
            <w:pPr>
              <w:tabs>
                <w:tab w:val="left" w:pos="5710"/>
              </w:tabs>
              <w:jc w:val="center"/>
              <w:rPr>
                <w:rFonts w:eastAsia="Times New Roman"/>
                <w:lang w:val="en-US"/>
              </w:rPr>
            </w:pPr>
            <w:r w:rsidRPr="00474548">
              <w:rPr>
                <w:lang w:val="en-US"/>
              </w:rPr>
              <w:t>Low</w:t>
            </w:r>
          </w:p>
        </w:tc>
        <w:tc>
          <w:tcPr>
            <w:tcW w:w="392" w:type="pct"/>
          </w:tcPr>
          <w:p w14:paraId="5CE2E2F8" w14:textId="77777777" w:rsidR="005B605A" w:rsidRPr="00474548" w:rsidRDefault="005B605A" w:rsidP="008E6F8E">
            <w:pPr>
              <w:tabs>
                <w:tab w:val="left" w:pos="5710"/>
              </w:tabs>
              <w:jc w:val="center"/>
              <w:rPr>
                <w:rFonts w:eastAsia="Times New Roman"/>
                <w:lang w:val="en-US"/>
              </w:rPr>
            </w:pPr>
            <w:r w:rsidRPr="00474548">
              <w:rPr>
                <w:lang w:val="en-US"/>
              </w:rPr>
              <w:t>3</w:t>
            </w:r>
          </w:p>
        </w:tc>
        <w:tc>
          <w:tcPr>
            <w:tcW w:w="549" w:type="pct"/>
          </w:tcPr>
          <w:p w14:paraId="072A2162" w14:textId="77777777" w:rsidR="005B605A" w:rsidRPr="00474548" w:rsidRDefault="005B605A" w:rsidP="008E6F8E">
            <w:pPr>
              <w:tabs>
                <w:tab w:val="left" w:pos="5710"/>
              </w:tabs>
              <w:jc w:val="center"/>
              <w:rPr>
                <w:rFonts w:eastAsia="Times New Roman"/>
                <w:lang w:val="en-US"/>
              </w:rPr>
            </w:pPr>
            <w:r w:rsidRPr="00474548">
              <w:rPr>
                <w:lang w:val="en-US"/>
              </w:rPr>
              <w:t>4, 9, 10, 17, 20</w:t>
            </w:r>
          </w:p>
        </w:tc>
      </w:tr>
    </w:tbl>
    <w:p w14:paraId="5915F2AB" w14:textId="77777777" w:rsidR="005B605A" w:rsidRPr="00474548" w:rsidRDefault="005B605A" w:rsidP="008E6F8E">
      <w:pPr>
        <w:autoSpaceDE w:val="0"/>
        <w:autoSpaceDN w:val="0"/>
        <w:adjustRightInd w:val="0"/>
        <w:ind w:firstLine="709"/>
        <w:rPr>
          <w:sz w:val="22"/>
          <w:szCs w:val="22"/>
          <w:lang w:val="en-US"/>
        </w:rPr>
      </w:pPr>
    </w:p>
    <w:p w14:paraId="3A0B7AAA" w14:textId="06664C49" w:rsidR="005B605A" w:rsidRPr="00474548" w:rsidRDefault="005B605A" w:rsidP="008E6F8E">
      <w:pPr>
        <w:pStyle w:val="Subtitle"/>
        <w:rPr>
          <w:rFonts w:ascii="Times New Roman" w:hAnsi="Times New Roman"/>
          <w:sz w:val="22"/>
          <w:szCs w:val="22"/>
          <w:lang w:val="en-US"/>
        </w:rPr>
      </w:pPr>
      <w:bookmarkStart w:id="25" w:name="_Toc391473727"/>
      <w:r w:rsidRPr="00474548">
        <w:rPr>
          <w:rFonts w:ascii="Times New Roman" w:hAnsi="Times New Roman"/>
          <w:sz w:val="22"/>
          <w:szCs w:val="22"/>
          <w:lang w:val="en-US"/>
        </w:rPr>
        <w:t>4.5.1 MP/Laws Type 1: Strong Intensity</w:t>
      </w:r>
    </w:p>
    <w:bookmarkEnd w:id="25"/>
    <w:p w14:paraId="5AAC1115" w14:textId="056545E7" w:rsidR="009F49FD" w:rsidRPr="00474548" w:rsidRDefault="005B605A" w:rsidP="001809F1">
      <w:pPr>
        <w:pStyle w:val="ListParagraph"/>
        <w:autoSpaceDE w:val="0"/>
        <w:autoSpaceDN w:val="0"/>
        <w:adjustRightInd w:val="0"/>
        <w:ind w:left="0" w:firstLine="709"/>
        <w:jc w:val="both"/>
        <w:rPr>
          <w:sz w:val="22"/>
          <w:szCs w:val="22"/>
          <w:lang w:val="en-US"/>
        </w:rPr>
      </w:pPr>
      <w:r w:rsidRPr="00474548">
        <w:rPr>
          <w:sz w:val="22"/>
          <w:szCs w:val="22"/>
          <w:lang w:val="en-US"/>
        </w:rPr>
        <w:t>MP/Laws Type 1 events include a</w:t>
      </w:r>
      <w:r w:rsidR="007F6733" w:rsidRPr="00474548">
        <w:rPr>
          <w:sz w:val="22"/>
          <w:szCs w:val="22"/>
          <w:lang w:val="en-US"/>
        </w:rPr>
        <w:t>n</w:t>
      </w:r>
      <w:r w:rsidRPr="00474548">
        <w:rPr>
          <w:sz w:val="22"/>
          <w:szCs w:val="22"/>
          <w:lang w:val="en-US"/>
        </w:rPr>
        <w:t xml:space="preserve"> </w:t>
      </w:r>
      <w:r w:rsidRPr="00474548">
        <w:rPr>
          <w:color w:val="000000"/>
          <w:sz w:val="22"/>
          <w:szCs w:val="22"/>
          <w:lang w:val="en-US"/>
        </w:rPr>
        <w:t xml:space="preserve">MP 144/03 converted </w:t>
      </w:r>
      <w:r w:rsidR="007F6733" w:rsidRPr="00474548">
        <w:rPr>
          <w:color w:val="000000"/>
          <w:sz w:val="22"/>
          <w:szCs w:val="22"/>
          <w:lang w:val="en-US"/>
        </w:rPr>
        <w:t xml:space="preserve">into </w:t>
      </w:r>
      <w:r w:rsidRPr="00474548">
        <w:rPr>
          <w:color w:val="000000"/>
          <w:sz w:val="22"/>
          <w:szCs w:val="22"/>
          <w:lang w:val="en-US"/>
        </w:rPr>
        <w:t>L</w:t>
      </w:r>
      <w:r w:rsidRPr="00474548">
        <w:rPr>
          <w:rStyle w:val="nomeproposicao"/>
          <w:sz w:val="22"/>
          <w:szCs w:val="22"/>
          <w:lang w:val="en-US"/>
        </w:rPr>
        <w:t xml:space="preserve">aw </w:t>
      </w:r>
      <w:r w:rsidRPr="00474548">
        <w:rPr>
          <w:sz w:val="22"/>
          <w:szCs w:val="22"/>
          <w:lang w:val="en-US"/>
        </w:rPr>
        <w:t>10</w:t>
      </w:r>
      <w:r w:rsidR="00C42C23" w:rsidRPr="00474548">
        <w:rPr>
          <w:sz w:val="22"/>
          <w:szCs w:val="22"/>
          <w:lang w:val="en-US"/>
        </w:rPr>
        <w:t>,</w:t>
      </w:r>
      <w:r w:rsidRPr="00474548">
        <w:rPr>
          <w:sz w:val="22"/>
          <w:szCs w:val="22"/>
          <w:lang w:val="en-US"/>
        </w:rPr>
        <w:t xml:space="preserve">848 of </w:t>
      </w:r>
      <w:r w:rsidR="007F6733" w:rsidRPr="00474548">
        <w:rPr>
          <w:sz w:val="22"/>
          <w:szCs w:val="22"/>
          <w:lang w:val="en-US"/>
        </w:rPr>
        <w:t>03/15/2004</w:t>
      </w:r>
      <w:r w:rsidRPr="00474548">
        <w:rPr>
          <w:sz w:val="22"/>
          <w:szCs w:val="22"/>
          <w:lang w:val="en-US"/>
        </w:rPr>
        <w:t xml:space="preserve">, along with the </w:t>
      </w:r>
      <w:r w:rsidR="007F6733" w:rsidRPr="00474548">
        <w:rPr>
          <w:sz w:val="22"/>
          <w:szCs w:val="22"/>
          <w:lang w:val="en-US"/>
        </w:rPr>
        <w:t xml:space="preserve">announcement </w:t>
      </w:r>
      <w:r w:rsidRPr="00474548">
        <w:rPr>
          <w:sz w:val="22"/>
          <w:szCs w:val="22"/>
          <w:lang w:val="en-US"/>
        </w:rPr>
        <w:t xml:space="preserve">of </w:t>
      </w:r>
      <w:r w:rsidRPr="00474548">
        <w:rPr>
          <w:color w:val="000000"/>
          <w:sz w:val="22"/>
          <w:szCs w:val="22"/>
          <w:lang w:val="en-US"/>
        </w:rPr>
        <w:t xml:space="preserve">MP 579/12 converted </w:t>
      </w:r>
      <w:r w:rsidRPr="00474548">
        <w:rPr>
          <w:sz w:val="22"/>
          <w:szCs w:val="22"/>
          <w:lang w:val="en-US"/>
        </w:rPr>
        <w:t>in</w:t>
      </w:r>
      <w:r w:rsidR="007F6733" w:rsidRPr="00474548">
        <w:rPr>
          <w:sz w:val="22"/>
          <w:szCs w:val="22"/>
          <w:lang w:val="en-US"/>
        </w:rPr>
        <w:t>to</w:t>
      </w:r>
      <w:r w:rsidRPr="00474548">
        <w:rPr>
          <w:sz w:val="22"/>
          <w:szCs w:val="22"/>
          <w:lang w:val="en-US"/>
        </w:rPr>
        <w:t xml:space="preserve"> Law 12</w:t>
      </w:r>
      <w:r w:rsidR="007F6733" w:rsidRPr="00474548">
        <w:rPr>
          <w:sz w:val="22"/>
          <w:szCs w:val="22"/>
          <w:lang w:val="en-US"/>
        </w:rPr>
        <w:t>,</w:t>
      </w:r>
      <w:r w:rsidRPr="00474548">
        <w:rPr>
          <w:sz w:val="22"/>
          <w:szCs w:val="22"/>
          <w:lang w:val="en-US"/>
        </w:rPr>
        <w:t xml:space="preserve">783 of </w:t>
      </w:r>
      <w:r w:rsidR="007F6733" w:rsidRPr="00474548">
        <w:rPr>
          <w:sz w:val="22"/>
          <w:szCs w:val="22"/>
          <w:lang w:val="en-US"/>
        </w:rPr>
        <w:t>01/11/2003</w:t>
      </w:r>
      <w:r w:rsidRPr="00474548">
        <w:rPr>
          <w:sz w:val="22"/>
          <w:szCs w:val="22"/>
          <w:lang w:val="en-US"/>
        </w:rPr>
        <w:t xml:space="preserve">, both of </w:t>
      </w:r>
      <w:r w:rsidR="007F6733" w:rsidRPr="00474548">
        <w:rPr>
          <w:sz w:val="22"/>
          <w:szCs w:val="22"/>
          <w:lang w:val="en-US"/>
        </w:rPr>
        <w:t>s</w:t>
      </w:r>
      <w:r w:rsidRPr="00474548">
        <w:rPr>
          <w:sz w:val="22"/>
          <w:szCs w:val="22"/>
          <w:lang w:val="en-US"/>
        </w:rPr>
        <w:t xml:space="preserve">trong </w:t>
      </w:r>
      <w:r w:rsidR="007F6733" w:rsidRPr="00474548">
        <w:rPr>
          <w:sz w:val="22"/>
          <w:szCs w:val="22"/>
          <w:lang w:val="en-US"/>
        </w:rPr>
        <w:t>i</w:t>
      </w:r>
      <w:r w:rsidRPr="00474548">
        <w:rPr>
          <w:sz w:val="22"/>
          <w:szCs w:val="22"/>
          <w:lang w:val="en-US"/>
        </w:rPr>
        <w:t>ntensity. Results with the inclusion of</w:t>
      </w:r>
      <w:r w:rsidR="00BB60E3" w:rsidRPr="00474548">
        <w:rPr>
          <w:sz w:val="22"/>
          <w:szCs w:val="22"/>
          <w:lang w:val="en-US"/>
        </w:rPr>
        <w:t xml:space="preserve"> </w:t>
      </w:r>
      <w:r w:rsidR="007F6733" w:rsidRPr="00474548">
        <w:rPr>
          <w:sz w:val="22"/>
          <w:szCs w:val="22"/>
          <w:lang w:val="en-US"/>
        </w:rPr>
        <w:t>the</w:t>
      </w:r>
      <w:r w:rsidRPr="00474548">
        <w:rPr>
          <w:sz w:val="22"/>
          <w:szCs w:val="22"/>
          <w:lang w:val="en-US"/>
        </w:rPr>
        <w:t xml:space="preserve"> </w:t>
      </w:r>
      <w:r w:rsidRPr="00474548">
        <w:rPr>
          <w:i/>
          <w:sz w:val="22"/>
          <w:szCs w:val="22"/>
          <w:lang w:val="en-US"/>
        </w:rPr>
        <w:t>dummy</w:t>
      </w:r>
      <w:r w:rsidRPr="00474548">
        <w:rPr>
          <w:sz w:val="22"/>
          <w:szCs w:val="22"/>
          <w:lang w:val="en-US"/>
        </w:rPr>
        <w:t xml:space="preserve"> variable, indicative of MP/Laws Type 1 events, are</w:t>
      </w:r>
      <w:r w:rsidR="001809F1" w:rsidRPr="00474548">
        <w:rPr>
          <w:sz w:val="22"/>
          <w:szCs w:val="22"/>
          <w:lang w:val="en-US"/>
        </w:rPr>
        <w:t xml:space="preserve"> shown in Table 8</w:t>
      </w:r>
      <w:r w:rsidRPr="00474548">
        <w:rPr>
          <w:sz w:val="22"/>
          <w:szCs w:val="22"/>
          <w:lang w:val="en-US"/>
        </w:rPr>
        <w:t>.</w:t>
      </w:r>
      <w:bookmarkStart w:id="26" w:name="_Toc391499589"/>
    </w:p>
    <w:p w14:paraId="21F1C64F" w14:textId="77777777" w:rsidR="00BB2864" w:rsidRDefault="00BB2864" w:rsidP="000F7154"/>
    <w:p w14:paraId="487DCF69" w14:textId="77777777" w:rsidR="006E641C" w:rsidRDefault="006E641C" w:rsidP="000F7154"/>
    <w:p w14:paraId="1D8ADB91" w14:textId="77777777" w:rsidR="006E641C" w:rsidRDefault="006E641C" w:rsidP="000F7154"/>
    <w:p w14:paraId="73161D25" w14:textId="77777777" w:rsidR="006E641C" w:rsidRDefault="006E641C" w:rsidP="000F7154"/>
    <w:p w14:paraId="3268FB9E" w14:textId="77777777" w:rsidR="006E641C" w:rsidRDefault="006E641C" w:rsidP="000F7154"/>
    <w:p w14:paraId="0089BAE3" w14:textId="77777777" w:rsidR="006E641C" w:rsidRDefault="006E641C" w:rsidP="000F7154"/>
    <w:p w14:paraId="33E09697" w14:textId="77777777" w:rsidR="006E641C" w:rsidRDefault="006E641C" w:rsidP="000F7154"/>
    <w:p w14:paraId="49FDF4F3" w14:textId="77777777" w:rsidR="006E641C" w:rsidRPr="00474548" w:rsidRDefault="006E641C" w:rsidP="000F7154"/>
    <w:p w14:paraId="7AF7CD56" w14:textId="2EBB189D" w:rsidR="005B605A" w:rsidRPr="00474548" w:rsidRDefault="009F49FD" w:rsidP="008E6F8E">
      <w:pPr>
        <w:pStyle w:val="Caption"/>
        <w:spacing w:after="0"/>
        <w:rPr>
          <w:b w:val="0"/>
          <w:color w:val="auto"/>
          <w:sz w:val="20"/>
          <w:szCs w:val="20"/>
          <w:lang w:val="en-US"/>
        </w:rPr>
      </w:pPr>
      <w:r w:rsidRPr="00474548">
        <w:rPr>
          <w:b w:val="0"/>
          <w:color w:val="auto"/>
          <w:sz w:val="20"/>
          <w:szCs w:val="20"/>
          <w:lang w:val="en-US"/>
        </w:rPr>
        <w:lastRenderedPageBreak/>
        <w:t>Table 8</w:t>
      </w:r>
      <w:r w:rsidR="005B605A" w:rsidRPr="00474548">
        <w:rPr>
          <w:b w:val="0"/>
          <w:color w:val="auto"/>
          <w:sz w:val="20"/>
          <w:szCs w:val="20"/>
          <w:lang w:val="en-US"/>
        </w:rPr>
        <w:t xml:space="preserve"> - Results of MP/</w:t>
      </w:r>
      <w:r w:rsidR="007F6733" w:rsidRPr="00474548">
        <w:rPr>
          <w:b w:val="0"/>
          <w:color w:val="auto"/>
          <w:sz w:val="20"/>
          <w:szCs w:val="20"/>
          <w:lang w:val="en-US"/>
        </w:rPr>
        <w:t xml:space="preserve">Laws </w:t>
      </w:r>
      <w:r w:rsidR="005B605A" w:rsidRPr="00474548">
        <w:rPr>
          <w:b w:val="0"/>
          <w:color w:val="auto"/>
          <w:sz w:val="20"/>
          <w:szCs w:val="20"/>
          <w:lang w:val="en-US"/>
        </w:rPr>
        <w:t>Type 1 events</w:t>
      </w:r>
      <w:bookmarkEnd w:id="26"/>
    </w:p>
    <w:tbl>
      <w:tblPr>
        <w:tblW w:w="4809" w:type="pct"/>
        <w:tblLayout w:type="fixed"/>
        <w:tblCellMar>
          <w:left w:w="70" w:type="dxa"/>
          <w:right w:w="70" w:type="dxa"/>
        </w:tblCellMar>
        <w:tblLook w:val="04A0" w:firstRow="1" w:lastRow="0" w:firstColumn="1" w:lastColumn="0" w:noHBand="0" w:noVBand="1"/>
      </w:tblPr>
      <w:tblGrid>
        <w:gridCol w:w="2182"/>
        <w:gridCol w:w="1195"/>
        <w:gridCol w:w="1353"/>
        <w:gridCol w:w="1824"/>
        <w:gridCol w:w="1128"/>
        <w:gridCol w:w="1128"/>
      </w:tblGrid>
      <w:tr w:rsidR="005B605A" w:rsidRPr="00474548" w14:paraId="3CFD69F2" w14:textId="77777777" w:rsidTr="00AB10E8">
        <w:trPr>
          <w:trHeight w:val="379"/>
        </w:trPr>
        <w:tc>
          <w:tcPr>
            <w:tcW w:w="1239" w:type="pct"/>
            <w:tcBorders>
              <w:top w:val="single" w:sz="4" w:space="0" w:color="auto"/>
              <w:bottom w:val="single" w:sz="4" w:space="0" w:color="auto"/>
            </w:tcBorders>
            <w:shd w:val="clear" w:color="000000" w:fill="D9D9D9"/>
            <w:vAlign w:val="center"/>
            <w:hideMark/>
          </w:tcPr>
          <w:p w14:paraId="0F8D5867"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Variable</w:t>
            </w:r>
          </w:p>
        </w:tc>
        <w:tc>
          <w:tcPr>
            <w:tcW w:w="678" w:type="pct"/>
            <w:tcBorders>
              <w:top w:val="single" w:sz="4" w:space="0" w:color="auto"/>
              <w:bottom w:val="single" w:sz="4" w:space="0" w:color="auto"/>
            </w:tcBorders>
            <w:shd w:val="clear" w:color="000000" w:fill="D9D9D9"/>
            <w:vAlign w:val="center"/>
            <w:hideMark/>
          </w:tcPr>
          <w:p w14:paraId="3C851A25"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Coefficient</w:t>
            </w:r>
          </w:p>
        </w:tc>
        <w:tc>
          <w:tcPr>
            <w:tcW w:w="768" w:type="pct"/>
            <w:tcBorders>
              <w:top w:val="single" w:sz="4" w:space="0" w:color="auto"/>
              <w:bottom w:val="single" w:sz="4" w:space="0" w:color="auto"/>
            </w:tcBorders>
            <w:shd w:val="clear" w:color="000000" w:fill="D9D9D9"/>
            <w:vAlign w:val="center"/>
            <w:hideMark/>
          </w:tcPr>
          <w:p w14:paraId="5948D628"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Standard Error</w:t>
            </w:r>
          </w:p>
        </w:tc>
        <w:tc>
          <w:tcPr>
            <w:tcW w:w="1035" w:type="pct"/>
            <w:tcBorders>
              <w:top w:val="single" w:sz="4" w:space="0" w:color="auto"/>
              <w:bottom w:val="single" w:sz="4" w:space="0" w:color="auto"/>
            </w:tcBorders>
            <w:shd w:val="clear" w:color="000000" w:fill="D9D9D9"/>
            <w:vAlign w:val="center"/>
            <w:hideMark/>
          </w:tcPr>
          <w:p w14:paraId="5A4C98C4" w14:textId="4F17EE59" w:rsidR="005B605A" w:rsidRPr="00474548" w:rsidRDefault="00A8308C" w:rsidP="008E6F8E">
            <w:pPr>
              <w:jc w:val="center"/>
              <w:rPr>
                <w:rFonts w:eastAsia="Times New Roman"/>
                <w:i/>
                <w:iCs/>
                <w:color w:val="000000"/>
                <w:sz w:val="20"/>
                <w:szCs w:val="20"/>
                <w:lang w:val="en-US"/>
              </w:rPr>
            </w:pPr>
            <w:r w:rsidRPr="00474548">
              <w:rPr>
                <w:color w:val="000000"/>
                <w:kern w:val="0"/>
                <w:sz w:val="20"/>
                <w:szCs w:val="20"/>
                <w:lang w:val="en-US"/>
              </w:rPr>
              <w:t>Standardized Beta</w:t>
            </w:r>
          </w:p>
        </w:tc>
        <w:tc>
          <w:tcPr>
            <w:tcW w:w="640" w:type="pct"/>
            <w:tcBorders>
              <w:top w:val="single" w:sz="4" w:space="0" w:color="auto"/>
              <w:bottom w:val="single" w:sz="4" w:space="0" w:color="auto"/>
            </w:tcBorders>
            <w:shd w:val="clear" w:color="000000" w:fill="D9D9D9"/>
            <w:vAlign w:val="center"/>
          </w:tcPr>
          <w:p w14:paraId="478D880C" w14:textId="49544FC7" w:rsidR="005B605A" w:rsidRPr="00474548" w:rsidRDefault="003415E8" w:rsidP="008E6F8E">
            <w:pPr>
              <w:jc w:val="center"/>
              <w:rPr>
                <w:rFonts w:eastAsia="Times New Roman"/>
                <w:i/>
                <w:iCs/>
                <w:color w:val="000000"/>
                <w:sz w:val="20"/>
                <w:szCs w:val="20"/>
                <w:lang w:val="en-US"/>
              </w:rPr>
            </w:pPr>
            <w:proofErr w:type="gramStart"/>
            <w:r w:rsidRPr="00474548">
              <w:rPr>
                <w:i/>
                <w:color w:val="000000"/>
                <w:sz w:val="20"/>
                <w:szCs w:val="20"/>
                <w:lang w:val="en-US"/>
              </w:rPr>
              <w:t>t</w:t>
            </w:r>
            <w:proofErr w:type="gramEnd"/>
            <w:r w:rsidRPr="00474548">
              <w:rPr>
                <w:i/>
                <w:color w:val="000000"/>
                <w:sz w:val="20"/>
                <w:szCs w:val="20"/>
                <w:lang w:val="en-US"/>
              </w:rPr>
              <w:t>-</w:t>
            </w:r>
            <w:r w:rsidR="005B605A" w:rsidRPr="00474548">
              <w:rPr>
                <w:i/>
                <w:color w:val="000000"/>
                <w:sz w:val="20"/>
                <w:szCs w:val="20"/>
                <w:lang w:val="en-US"/>
              </w:rPr>
              <w:t>statistics</w:t>
            </w:r>
          </w:p>
        </w:tc>
        <w:tc>
          <w:tcPr>
            <w:tcW w:w="640" w:type="pct"/>
            <w:tcBorders>
              <w:top w:val="single" w:sz="4" w:space="0" w:color="auto"/>
              <w:bottom w:val="single" w:sz="4" w:space="0" w:color="auto"/>
            </w:tcBorders>
            <w:shd w:val="clear" w:color="000000" w:fill="D9D9D9"/>
            <w:vAlign w:val="center"/>
            <w:hideMark/>
          </w:tcPr>
          <w:p w14:paraId="1BA8FCF8" w14:textId="77777777" w:rsidR="005B605A" w:rsidRPr="00474548" w:rsidRDefault="005B605A" w:rsidP="008E6F8E">
            <w:pPr>
              <w:jc w:val="center"/>
              <w:rPr>
                <w:rFonts w:eastAsia="Times New Roman"/>
                <w:i/>
                <w:iCs/>
                <w:color w:val="000000"/>
                <w:sz w:val="20"/>
                <w:szCs w:val="20"/>
                <w:lang w:val="en-US"/>
              </w:rPr>
            </w:pPr>
            <w:proofErr w:type="gramStart"/>
            <w:r w:rsidRPr="00474548">
              <w:rPr>
                <w:i/>
                <w:color w:val="000000"/>
                <w:sz w:val="20"/>
                <w:szCs w:val="20"/>
                <w:lang w:val="en-US"/>
              </w:rPr>
              <w:t>p</w:t>
            </w:r>
            <w:proofErr w:type="gramEnd"/>
            <w:r w:rsidRPr="00474548">
              <w:rPr>
                <w:i/>
                <w:color w:val="000000"/>
                <w:sz w:val="20"/>
                <w:szCs w:val="20"/>
                <w:lang w:val="en-US"/>
              </w:rPr>
              <w:t>-value</w:t>
            </w:r>
          </w:p>
        </w:tc>
      </w:tr>
      <w:tr w:rsidR="005B605A" w:rsidRPr="00474548" w14:paraId="309C4500" w14:textId="77777777" w:rsidTr="00AB10E8">
        <w:trPr>
          <w:trHeight w:val="274"/>
        </w:trPr>
        <w:tc>
          <w:tcPr>
            <w:tcW w:w="1239" w:type="pct"/>
            <w:tcBorders>
              <w:top w:val="single" w:sz="4" w:space="0" w:color="auto"/>
            </w:tcBorders>
            <w:shd w:val="clear" w:color="auto" w:fill="auto"/>
            <w:vAlign w:val="center"/>
            <w:hideMark/>
          </w:tcPr>
          <w:p w14:paraId="60D63710"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Const.</w:t>
            </w:r>
          </w:p>
        </w:tc>
        <w:tc>
          <w:tcPr>
            <w:tcW w:w="678" w:type="pct"/>
            <w:tcBorders>
              <w:top w:val="single" w:sz="4" w:space="0" w:color="auto"/>
            </w:tcBorders>
            <w:shd w:val="clear" w:color="auto" w:fill="auto"/>
            <w:vAlign w:val="center"/>
            <w:hideMark/>
          </w:tcPr>
          <w:p w14:paraId="150B4BF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0.0001826</w:t>
            </w:r>
          </w:p>
        </w:tc>
        <w:tc>
          <w:tcPr>
            <w:tcW w:w="768" w:type="pct"/>
            <w:tcBorders>
              <w:top w:val="single" w:sz="4" w:space="0" w:color="auto"/>
            </w:tcBorders>
            <w:shd w:val="clear" w:color="auto" w:fill="auto"/>
            <w:vAlign w:val="center"/>
            <w:hideMark/>
          </w:tcPr>
          <w:p w14:paraId="6D6DEC7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0.00017013</w:t>
            </w:r>
          </w:p>
        </w:tc>
        <w:tc>
          <w:tcPr>
            <w:tcW w:w="1035" w:type="pct"/>
            <w:tcBorders>
              <w:top w:val="single" w:sz="4" w:space="0" w:color="auto"/>
            </w:tcBorders>
            <w:shd w:val="clear" w:color="auto" w:fill="auto"/>
            <w:vAlign w:val="center"/>
            <w:hideMark/>
          </w:tcPr>
          <w:p w14:paraId="2D1571BD" w14:textId="77777777" w:rsidR="005B605A" w:rsidRPr="00474548" w:rsidRDefault="005B605A" w:rsidP="008E6F8E">
            <w:pPr>
              <w:jc w:val="center"/>
              <w:rPr>
                <w:rFonts w:eastAsia="Times New Roman"/>
                <w:color w:val="000000"/>
                <w:sz w:val="20"/>
                <w:szCs w:val="20"/>
                <w:lang w:val="en-US"/>
              </w:rPr>
            </w:pPr>
          </w:p>
        </w:tc>
        <w:tc>
          <w:tcPr>
            <w:tcW w:w="640" w:type="pct"/>
            <w:tcBorders>
              <w:top w:val="single" w:sz="4" w:space="0" w:color="auto"/>
            </w:tcBorders>
            <w:shd w:val="clear" w:color="auto" w:fill="auto"/>
            <w:vAlign w:val="center"/>
          </w:tcPr>
          <w:p w14:paraId="2AB937B4"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1.0734</w:t>
            </w:r>
          </w:p>
        </w:tc>
        <w:tc>
          <w:tcPr>
            <w:tcW w:w="640" w:type="pct"/>
            <w:tcBorders>
              <w:top w:val="single" w:sz="4" w:space="0" w:color="auto"/>
            </w:tcBorders>
            <w:shd w:val="clear" w:color="auto" w:fill="auto"/>
            <w:vAlign w:val="center"/>
            <w:hideMark/>
          </w:tcPr>
          <w:p w14:paraId="1E9AB84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0.28314</w:t>
            </w:r>
          </w:p>
        </w:tc>
      </w:tr>
      <w:tr w:rsidR="005B605A" w:rsidRPr="00474548" w14:paraId="47391423" w14:textId="77777777" w:rsidTr="00AB10E8">
        <w:trPr>
          <w:trHeight w:val="289"/>
        </w:trPr>
        <w:tc>
          <w:tcPr>
            <w:tcW w:w="1239" w:type="pct"/>
            <w:shd w:val="clear" w:color="auto" w:fill="auto"/>
            <w:vAlign w:val="center"/>
            <w:hideMark/>
          </w:tcPr>
          <w:p w14:paraId="760FD63B"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RIBOVCORR</w:t>
            </w:r>
          </w:p>
        </w:tc>
        <w:tc>
          <w:tcPr>
            <w:tcW w:w="678" w:type="pct"/>
            <w:shd w:val="clear" w:color="auto" w:fill="auto"/>
            <w:vAlign w:val="center"/>
            <w:hideMark/>
          </w:tcPr>
          <w:p w14:paraId="589A8F5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0.708215</w:t>
            </w:r>
          </w:p>
        </w:tc>
        <w:tc>
          <w:tcPr>
            <w:tcW w:w="768" w:type="pct"/>
            <w:shd w:val="clear" w:color="auto" w:fill="auto"/>
            <w:vAlign w:val="center"/>
            <w:hideMark/>
          </w:tcPr>
          <w:p w14:paraId="3C79EAD3"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0.00770132</w:t>
            </w:r>
          </w:p>
        </w:tc>
        <w:tc>
          <w:tcPr>
            <w:tcW w:w="1035" w:type="pct"/>
            <w:shd w:val="clear" w:color="auto" w:fill="auto"/>
            <w:vAlign w:val="center"/>
            <w:hideMark/>
          </w:tcPr>
          <w:p w14:paraId="2C3281E9"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0.0808</w:t>
            </w:r>
          </w:p>
        </w:tc>
        <w:tc>
          <w:tcPr>
            <w:tcW w:w="640" w:type="pct"/>
            <w:shd w:val="clear" w:color="auto" w:fill="auto"/>
            <w:vAlign w:val="center"/>
          </w:tcPr>
          <w:p w14:paraId="28AE98A5"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91.9602</w:t>
            </w:r>
          </w:p>
        </w:tc>
        <w:tc>
          <w:tcPr>
            <w:tcW w:w="640" w:type="pct"/>
            <w:shd w:val="clear" w:color="auto" w:fill="auto"/>
            <w:vAlign w:val="center"/>
            <w:hideMark/>
          </w:tcPr>
          <w:p w14:paraId="4D22B2FB" w14:textId="2A6C2A20"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&lt;0</w:t>
            </w:r>
            <w:r w:rsidR="003415E8" w:rsidRPr="00474548">
              <w:rPr>
                <w:color w:val="000000"/>
                <w:sz w:val="20"/>
                <w:szCs w:val="20"/>
                <w:lang w:val="en-US"/>
              </w:rPr>
              <w:t>.</w:t>
            </w:r>
            <w:r w:rsidRPr="00474548">
              <w:rPr>
                <w:color w:val="000000"/>
                <w:sz w:val="20"/>
                <w:szCs w:val="20"/>
                <w:lang w:val="en-US"/>
              </w:rPr>
              <w:t>00001</w:t>
            </w:r>
          </w:p>
        </w:tc>
      </w:tr>
      <w:tr w:rsidR="005B605A" w:rsidRPr="00474548" w14:paraId="63E97C7D" w14:textId="77777777" w:rsidTr="00AB10E8">
        <w:trPr>
          <w:trHeight w:val="167"/>
        </w:trPr>
        <w:tc>
          <w:tcPr>
            <w:tcW w:w="1239" w:type="pct"/>
            <w:tcBorders>
              <w:bottom w:val="single" w:sz="4" w:space="0" w:color="auto"/>
            </w:tcBorders>
            <w:shd w:val="clear" w:color="auto" w:fill="auto"/>
            <w:noWrap/>
            <w:vAlign w:val="center"/>
            <w:hideMark/>
          </w:tcPr>
          <w:p w14:paraId="73C64B18"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DM MP/Lei_Tipo1</w:t>
            </w:r>
          </w:p>
        </w:tc>
        <w:tc>
          <w:tcPr>
            <w:tcW w:w="678" w:type="pct"/>
            <w:tcBorders>
              <w:bottom w:val="single" w:sz="4" w:space="0" w:color="auto"/>
            </w:tcBorders>
            <w:shd w:val="clear" w:color="auto" w:fill="auto"/>
            <w:noWrap/>
            <w:vAlign w:val="bottom"/>
            <w:hideMark/>
          </w:tcPr>
          <w:p w14:paraId="193BC365"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0.492453</w:t>
            </w:r>
          </w:p>
        </w:tc>
        <w:tc>
          <w:tcPr>
            <w:tcW w:w="768" w:type="pct"/>
            <w:tcBorders>
              <w:bottom w:val="single" w:sz="4" w:space="0" w:color="auto"/>
            </w:tcBorders>
            <w:shd w:val="clear" w:color="auto" w:fill="auto"/>
            <w:noWrap/>
            <w:vAlign w:val="bottom"/>
            <w:hideMark/>
          </w:tcPr>
          <w:p w14:paraId="24C3ADEB"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0.139983</w:t>
            </w:r>
          </w:p>
        </w:tc>
        <w:tc>
          <w:tcPr>
            <w:tcW w:w="1035" w:type="pct"/>
            <w:tcBorders>
              <w:bottom w:val="single" w:sz="4" w:space="0" w:color="auto"/>
            </w:tcBorders>
            <w:shd w:val="clear" w:color="auto" w:fill="auto"/>
            <w:noWrap/>
            <w:vAlign w:val="bottom"/>
            <w:hideMark/>
          </w:tcPr>
          <w:p w14:paraId="01F3DB01"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0.031</w:t>
            </w:r>
          </w:p>
        </w:tc>
        <w:tc>
          <w:tcPr>
            <w:tcW w:w="640" w:type="pct"/>
            <w:tcBorders>
              <w:bottom w:val="single" w:sz="4" w:space="0" w:color="auto"/>
            </w:tcBorders>
            <w:shd w:val="clear" w:color="auto" w:fill="auto"/>
            <w:vAlign w:val="bottom"/>
          </w:tcPr>
          <w:p w14:paraId="0325658C"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3.5179</w:t>
            </w:r>
          </w:p>
        </w:tc>
        <w:tc>
          <w:tcPr>
            <w:tcW w:w="640" w:type="pct"/>
            <w:tcBorders>
              <w:bottom w:val="single" w:sz="4" w:space="0" w:color="auto"/>
            </w:tcBorders>
            <w:shd w:val="clear" w:color="auto" w:fill="auto"/>
            <w:noWrap/>
            <w:vAlign w:val="bottom"/>
            <w:hideMark/>
          </w:tcPr>
          <w:p w14:paraId="4CB55778"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0.00044</w:t>
            </w:r>
          </w:p>
        </w:tc>
      </w:tr>
      <w:tr w:rsidR="005B605A" w:rsidRPr="00474548" w14:paraId="0DA4D83C" w14:textId="77777777" w:rsidTr="00AB10E8">
        <w:trPr>
          <w:trHeight w:val="255"/>
        </w:trPr>
        <w:tc>
          <w:tcPr>
            <w:tcW w:w="1917" w:type="pct"/>
            <w:gridSpan w:val="2"/>
            <w:tcBorders>
              <w:top w:val="single" w:sz="4" w:space="0" w:color="auto"/>
              <w:left w:val="nil"/>
              <w:bottom w:val="nil"/>
              <w:right w:val="nil"/>
            </w:tcBorders>
            <w:shd w:val="clear" w:color="auto" w:fill="auto"/>
            <w:noWrap/>
            <w:vAlign w:val="center"/>
            <w:hideMark/>
          </w:tcPr>
          <w:p w14:paraId="0F59C12C"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RIEECOR</w:t>
            </w:r>
          </w:p>
        </w:tc>
        <w:tc>
          <w:tcPr>
            <w:tcW w:w="768" w:type="pct"/>
            <w:tcBorders>
              <w:top w:val="single" w:sz="4" w:space="0" w:color="auto"/>
              <w:left w:val="nil"/>
              <w:bottom w:val="nil"/>
              <w:right w:val="nil"/>
            </w:tcBorders>
            <w:shd w:val="clear" w:color="auto" w:fill="auto"/>
            <w:noWrap/>
            <w:vAlign w:val="bottom"/>
            <w:hideMark/>
          </w:tcPr>
          <w:p w14:paraId="01546ED5" w14:textId="77777777" w:rsidR="005B605A" w:rsidRPr="00474548" w:rsidRDefault="005B605A" w:rsidP="008E6F8E">
            <w:pPr>
              <w:rPr>
                <w:rFonts w:eastAsia="Times New Roman"/>
                <w:color w:val="000000"/>
                <w:sz w:val="20"/>
                <w:szCs w:val="20"/>
                <w:lang w:val="en-US"/>
              </w:rPr>
            </w:pPr>
          </w:p>
        </w:tc>
        <w:tc>
          <w:tcPr>
            <w:tcW w:w="2315" w:type="pct"/>
            <w:gridSpan w:val="3"/>
            <w:tcBorders>
              <w:top w:val="single" w:sz="4" w:space="0" w:color="auto"/>
              <w:left w:val="nil"/>
              <w:bottom w:val="nil"/>
              <w:right w:val="nil"/>
            </w:tcBorders>
            <w:shd w:val="clear" w:color="auto" w:fill="auto"/>
            <w:noWrap/>
            <w:vAlign w:val="center"/>
            <w:hideMark/>
          </w:tcPr>
          <w:p w14:paraId="1F2C9D8C" w14:textId="20AD99F3"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Coeff</w:t>
            </w:r>
            <w:proofErr w:type="spellEnd"/>
            <w:r w:rsidRPr="00474548">
              <w:rPr>
                <w:color w:val="000000"/>
                <w:sz w:val="20"/>
                <w:szCs w:val="20"/>
                <w:lang w:val="en-US"/>
              </w:rPr>
              <w:t xml:space="preserve">. </w:t>
            </w:r>
            <w:proofErr w:type="gramStart"/>
            <w:r w:rsidRPr="00474548">
              <w:rPr>
                <w:color w:val="000000"/>
                <w:sz w:val="20"/>
                <w:szCs w:val="20"/>
                <w:lang w:val="en-US"/>
              </w:rPr>
              <w:t>of</w:t>
            </w:r>
            <w:proofErr w:type="gramEnd"/>
            <w:r w:rsidRPr="00474548">
              <w:rPr>
                <w:color w:val="000000"/>
                <w:sz w:val="20"/>
                <w:szCs w:val="20"/>
                <w:lang w:val="en-US"/>
              </w:rPr>
              <w:t xml:space="preserve"> 1st order autocorrelation = -0</w:t>
            </w:r>
            <w:r w:rsidR="00BB60E3" w:rsidRPr="00474548">
              <w:rPr>
                <w:color w:val="000000"/>
                <w:sz w:val="20"/>
                <w:szCs w:val="20"/>
                <w:lang w:val="en-US"/>
              </w:rPr>
              <w:t>.</w:t>
            </w:r>
            <w:r w:rsidRPr="00474548">
              <w:rPr>
                <w:color w:val="000000"/>
                <w:sz w:val="20"/>
                <w:szCs w:val="20"/>
                <w:lang w:val="en-US"/>
              </w:rPr>
              <w:t>0105</w:t>
            </w:r>
          </w:p>
        </w:tc>
      </w:tr>
      <w:tr w:rsidR="005B605A" w:rsidRPr="00474548" w14:paraId="34980783" w14:textId="77777777" w:rsidTr="00AB10E8">
        <w:trPr>
          <w:trHeight w:val="255"/>
        </w:trPr>
        <w:tc>
          <w:tcPr>
            <w:tcW w:w="2685" w:type="pct"/>
            <w:gridSpan w:val="3"/>
            <w:tcBorders>
              <w:top w:val="nil"/>
              <w:left w:val="nil"/>
              <w:bottom w:val="nil"/>
              <w:right w:val="nil"/>
            </w:tcBorders>
            <w:shd w:val="clear" w:color="auto" w:fill="auto"/>
            <w:noWrap/>
            <w:vAlign w:val="center"/>
            <w:hideMark/>
          </w:tcPr>
          <w:p w14:paraId="080822A5" w14:textId="3EF7C423"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average = 0</w:t>
            </w:r>
            <w:r w:rsidR="00BB60E3" w:rsidRPr="00474548">
              <w:rPr>
                <w:color w:val="000000"/>
                <w:sz w:val="20"/>
                <w:szCs w:val="20"/>
                <w:lang w:val="en-US"/>
              </w:rPr>
              <w:t>.</w:t>
            </w:r>
            <w:r w:rsidRPr="00474548">
              <w:rPr>
                <w:color w:val="000000"/>
                <w:sz w:val="20"/>
                <w:szCs w:val="20"/>
                <w:lang w:val="en-US"/>
              </w:rPr>
              <w:t>000644049</w:t>
            </w:r>
          </w:p>
        </w:tc>
        <w:tc>
          <w:tcPr>
            <w:tcW w:w="2315" w:type="pct"/>
            <w:gridSpan w:val="3"/>
            <w:tcBorders>
              <w:top w:val="nil"/>
              <w:left w:val="nil"/>
              <w:bottom w:val="nil"/>
              <w:right w:val="nil"/>
            </w:tcBorders>
            <w:shd w:val="clear" w:color="auto" w:fill="auto"/>
            <w:noWrap/>
            <w:vAlign w:val="center"/>
            <w:hideMark/>
          </w:tcPr>
          <w:p w14:paraId="3B25CF8C" w14:textId="422C49C8" w:rsidR="005B605A" w:rsidRPr="00474548" w:rsidRDefault="005B605A" w:rsidP="008E6F8E">
            <w:pPr>
              <w:rPr>
                <w:rFonts w:eastAsia="Times New Roman"/>
                <w:color w:val="000000"/>
                <w:sz w:val="20"/>
                <w:szCs w:val="20"/>
                <w:lang w:val="en-US"/>
              </w:rPr>
            </w:pPr>
            <w:r w:rsidRPr="00474548">
              <w:rPr>
                <w:color w:val="000000"/>
                <w:sz w:val="20"/>
                <w:szCs w:val="20"/>
                <w:lang w:val="en-US"/>
              </w:rPr>
              <w:t>Likelihood logarithm = 13626</w:t>
            </w:r>
            <w:r w:rsidR="00BB60E3" w:rsidRPr="00474548">
              <w:rPr>
                <w:color w:val="000000"/>
                <w:sz w:val="20"/>
                <w:szCs w:val="20"/>
                <w:lang w:val="en-US"/>
              </w:rPr>
              <w:t>.</w:t>
            </w:r>
            <w:r w:rsidRPr="00474548">
              <w:rPr>
                <w:color w:val="000000"/>
                <w:sz w:val="20"/>
                <w:szCs w:val="20"/>
                <w:lang w:val="en-US"/>
              </w:rPr>
              <w:t>3</w:t>
            </w:r>
          </w:p>
        </w:tc>
      </w:tr>
      <w:tr w:rsidR="005B605A" w:rsidRPr="00474548" w14:paraId="4E96A689" w14:textId="77777777" w:rsidTr="00AB10E8">
        <w:trPr>
          <w:trHeight w:val="255"/>
        </w:trPr>
        <w:tc>
          <w:tcPr>
            <w:tcW w:w="2685" w:type="pct"/>
            <w:gridSpan w:val="3"/>
            <w:tcBorders>
              <w:top w:val="nil"/>
              <w:left w:val="nil"/>
              <w:bottom w:val="nil"/>
              <w:right w:val="nil"/>
            </w:tcBorders>
            <w:shd w:val="clear" w:color="auto" w:fill="auto"/>
            <w:noWrap/>
            <w:vAlign w:val="center"/>
            <w:hideMark/>
          </w:tcPr>
          <w:p w14:paraId="4765000F" w14:textId="38175A0B"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standard deviation = 0</w:t>
            </w:r>
            <w:r w:rsidR="00BB60E3" w:rsidRPr="00474548">
              <w:rPr>
                <w:color w:val="000000"/>
                <w:sz w:val="20"/>
                <w:szCs w:val="20"/>
                <w:lang w:val="en-US"/>
              </w:rPr>
              <w:t>.</w:t>
            </w:r>
            <w:r w:rsidRPr="00474548">
              <w:rPr>
                <w:color w:val="000000"/>
                <w:sz w:val="20"/>
                <w:szCs w:val="20"/>
                <w:lang w:val="en-US"/>
              </w:rPr>
              <w:t>0193657</w:t>
            </w:r>
          </w:p>
        </w:tc>
        <w:tc>
          <w:tcPr>
            <w:tcW w:w="2315" w:type="pct"/>
            <w:gridSpan w:val="3"/>
            <w:tcBorders>
              <w:top w:val="nil"/>
              <w:left w:val="nil"/>
              <w:bottom w:val="nil"/>
              <w:right w:val="nil"/>
            </w:tcBorders>
            <w:shd w:val="clear" w:color="auto" w:fill="auto"/>
            <w:noWrap/>
            <w:vAlign w:val="center"/>
            <w:hideMark/>
          </w:tcPr>
          <w:p w14:paraId="08C026A1" w14:textId="72E63069"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Akaike</w:t>
            </w:r>
            <w:proofErr w:type="spellEnd"/>
            <w:r w:rsidRPr="00474548">
              <w:rPr>
                <w:color w:val="000000"/>
                <w:sz w:val="20"/>
                <w:szCs w:val="20"/>
                <w:lang w:val="en-US"/>
              </w:rPr>
              <w:t xml:space="preserve"> information criterion = -27246</w:t>
            </w:r>
            <w:r w:rsidR="00BB60E3" w:rsidRPr="00474548">
              <w:rPr>
                <w:color w:val="000000"/>
                <w:sz w:val="20"/>
                <w:szCs w:val="20"/>
                <w:lang w:val="en-US"/>
              </w:rPr>
              <w:t>.</w:t>
            </w:r>
            <w:r w:rsidRPr="00474548">
              <w:rPr>
                <w:color w:val="000000"/>
                <w:sz w:val="20"/>
                <w:szCs w:val="20"/>
                <w:lang w:val="en-US"/>
              </w:rPr>
              <w:t>6</w:t>
            </w:r>
          </w:p>
        </w:tc>
      </w:tr>
      <w:tr w:rsidR="005B605A" w:rsidRPr="00474548" w14:paraId="696B79CA" w14:textId="77777777" w:rsidTr="00AB10E8">
        <w:trPr>
          <w:trHeight w:val="255"/>
        </w:trPr>
        <w:tc>
          <w:tcPr>
            <w:tcW w:w="2685" w:type="pct"/>
            <w:gridSpan w:val="3"/>
            <w:tcBorders>
              <w:top w:val="nil"/>
              <w:left w:val="nil"/>
              <w:bottom w:val="nil"/>
              <w:right w:val="nil"/>
            </w:tcBorders>
            <w:shd w:val="clear" w:color="auto" w:fill="auto"/>
            <w:noWrap/>
            <w:vAlign w:val="center"/>
            <w:hideMark/>
          </w:tcPr>
          <w:p w14:paraId="047FAA84" w14:textId="03DC12E0" w:rsidR="005B605A" w:rsidRPr="00474548" w:rsidRDefault="005B605A" w:rsidP="008E6F8E">
            <w:pPr>
              <w:rPr>
                <w:rFonts w:eastAsia="Times New Roman"/>
                <w:color w:val="000000"/>
                <w:sz w:val="20"/>
                <w:szCs w:val="20"/>
                <w:lang w:val="en-US"/>
              </w:rPr>
            </w:pPr>
            <w:r w:rsidRPr="00474548">
              <w:rPr>
                <w:color w:val="000000"/>
                <w:sz w:val="20"/>
                <w:szCs w:val="20"/>
                <w:lang w:val="en-US"/>
              </w:rPr>
              <w:t>Sum of square residues = 0</w:t>
            </w:r>
            <w:r w:rsidR="00BB60E3" w:rsidRPr="00474548">
              <w:rPr>
                <w:color w:val="000000"/>
                <w:sz w:val="20"/>
                <w:szCs w:val="20"/>
                <w:lang w:val="en-US"/>
              </w:rPr>
              <w:t>.</w:t>
            </w:r>
            <w:r w:rsidRPr="00474548">
              <w:rPr>
                <w:color w:val="000000"/>
                <w:sz w:val="20"/>
                <w:szCs w:val="20"/>
                <w:lang w:val="en-US"/>
              </w:rPr>
              <w:t>57224</w:t>
            </w:r>
          </w:p>
        </w:tc>
        <w:tc>
          <w:tcPr>
            <w:tcW w:w="2315" w:type="pct"/>
            <w:gridSpan w:val="3"/>
            <w:tcBorders>
              <w:top w:val="nil"/>
              <w:left w:val="nil"/>
              <w:bottom w:val="nil"/>
              <w:right w:val="nil"/>
            </w:tcBorders>
            <w:shd w:val="clear" w:color="auto" w:fill="auto"/>
            <w:noWrap/>
            <w:vAlign w:val="center"/>
            <w:hideMark/>
          </w:tcPr>
          <w:p w14:paraId="30BD4E24" w14:textId="2CCCD00D" w:rsidR="005B605A" w:rsidRPr="00474548" w:rsidRDefault="005B605A" w:rsidP="008E6F8E">
            <w:pPr>
              <w:rPr>
                <w:rFonts w:eastAsia="Times New Roman"/>
                <w:color w:val="000000"/>
                <w:sz w:val="20"/>
                <w:szCs w:val="20"/>
                <w:lang w:val="en-US"/>
              </w:rPr>
            </w:pPr>
            <w:r w:rsidRPr="00474548">
              <w:rPr>
                <w:color w:val="000000"/>
                <w:sz w:val="20"/>
                <w:szCs w:val="20"/>
                <w:lang w:val="en-US"/>
              </w:rPr>
              <w:t>Schwarz's Bayesian Criterion = -27227</w:t>
            </w:r>
            <w:r w:rsidR="00BB60E3" w:rsidRPr="00474548">
              <w:rPr>
                <w:color w:val="000000"/>
                <w:sz w:val="20"/>
                <w:szCs w:val="20"/>
                <w:lang w:val="en-US"/>
              </w:rPr>
              <w:t>.</w:t>
            </w:r>
            <w:r w:rsidRPr="00474548">
              <w:rPr>
                <w:color w:val="000000"/>
                <w:sz w:val="20"/>
                <w:szCs w:val="20"/>
                <w:lang w:val="en-US"/>
              </w:rPr>
              <w:t>4</w:t>
            </w:r>
          </w:p>
        </w:tc>
      </w:tr>
      <w:tr w:rsidR="005B605A" w:rsidRPr="00474548" w14:paraId="3582E3FA" w14:textId="77777777" w:rsidTr="00AB10E8">
        <w:trPr>
          <w:trHeight w:val="255"/>
        </w:trPr>
        <w:tc>
          <w:tcPr>
            <w:tcW w:w="1917" w:type="pct"/>
            <w:gridSpan w:val="2"/>
            <w:tcBorders>
              <w:top w:val="nil"/>
              <w:left w:val="nil"/>
              <w:bottom w:val="nil"/>
              <w:right w:val="nil"/>
            </w:tcBorders>
            <w:shd w:val="clear" w:color="auto" w:fill="auto"/>
            <w:noWrap/>
            <w:vAlign w:val="center"/>
            <w:hideMark/>
          </w:tcPr>
          <w:p w14:paraId="5B2C3BDC" w14:textId="485650CC" w:rsidR="005B605A" w:rsidRPr="00474548" w:rsidRDefault="005B605A" w:rsidP="008E6F8E">
            <w:pPr>
              <w:rPr>
                <w:rFonts w:eastAsia="Times New Roman"/>
                <w:color w:val="000000"/>
                <w:sz w:val="20"/>
                <w:szCs w:val="20"/>
                <w:lang w:val="en-US"/>
              </w:rPr>
            </w:pPr>
            <w:r w:rsidRPr="00474548">
              <w:rPr>
                <w:color w:val="000000"/>
                <w:sz w:val="20"/>
                <w:szCs w:val="20"/>
                <w:lang w:val="en-US"/>
              </w:rPr>
              <w:t>Standard error of residues = 0</w:t>
            </w:r>
            <w:r w:rsidR="00BB60E3" w:rsidRPr="00474548">
              <w:rPr>
                <w:color w:val="000000"/>
                <w:sz w:val="20"/>
                <w:szCs w:val="20"/>
                <w:lang w:val="en-US"/>
              </w:rPr>
              <w:t>.</w:t>
            </w:r>
            <w:r w:rsidRPr="00474548">
              <w:rPr>
                <w:color w:val="000000"/>
                <w:sz w:val="20"/>
                <w:szCs w:val="20"/>
                <w:lang w:val="en-US"/>
              </w:rPr>
              <w:t>011341</w:t>
            </w:r>
          </w:p>
        </w:tc>
        <w:tc>
          <w:tcPr>
            <w:tcW w:w="768" w:type="pct"/>
            <w:tcBorders>
              <w:top w:val="nil"/>
              <w:left w:val="nil"/>
              <w:bottom w:val="nil"/>
              <w:right w:val="nil"/>
            </w:tcBorders>
            <w:shd w:val="clear" w:color="auto" w:fill="auto"/>
            <w:noWrap/>
            <w:vAlign w:val="bottom"/>
            <w:hideMark/>
          </w:tcPr>
          <w:p w14:paraId="4B013BF7" w14:textId="77777777" w:rsidR="005B605A" w:rsidRPr="00474548" w:rsidRDefault="005B605A" w:rsidP="008E6F8E">
            <w:pPr>
              <w:rPr>
                <w:rFonts w:eastAsia="Times New Roman"/>
                <w:color w:val="000000"/>
                <w:sz w:val="20"/>
                <w:szCs w:val="20"/>
                <w:lang w:val="en-US"/>
              </w:rPr>
            </w:pPr>
          </w:p>
        </w:tc>
        <w:tc>
          <w:tcPr>
            <w:tcW w:w="2315" w:type="pct"/>
            <w:gridSpan w:val="3"/>
            <w:tcBorders>
              <w:top w:val="nil"/>
              <w:left w:val="nil"/>
              <w:bottom w:val="nil"/>
              <w:right w:val="nil"/>
            </w:tcBorders>
            <w:shd w:val="clear" w:color="auto" w:fill="auto"/>
            <w:noWrap/>
            <w:vAlign w:val="center"/>
            <w:hideMark/>
          </w:tcPr>
          <w:p w14:paraId="096652CB" w14:textId="3266864A"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Hannan</w:t>
            </w:r>
            <w:proofErr w:type="spellEnd"/>
            <w:r w:rsidRPr="00474548">
              <w:rPr>
                <w:color w:val="000000"/>
                <w:sz w:val="20"/>
                <w:szCs w:val="20"/>
                <w:lang w:val="en-US"/>
              </w:rPr>
              <w:t>-Quinn Criterion = -27239</w:t>
            </w:r>
            <w:r w:rsidR="00BB60E3" w:rsidRPr="00474548">
              <w:rPr>
                <w:color w:val="000000"/>
                <w:sz w:val="20"/>
                <w:szCs w:val="20"/>
                <w:lang w:val="en-US"/>
              </w:rPr>
              <w:t>.</w:t>
            </w:r>
            <w:r w:rsidRPr="00474548">
              <w:rPr>
                <w:color w:val="000000"/>
                <w:sz w:val="20"/>
                <w:szCs w:val="20"/>
                <w:lang w:val="en-US"/>
              </w:rPr>
              <w:t>8</w:t>
            </w:r>
          </w:p>
        </w:tc>
      </w:tr>
      <w:tr w:rsidR="005B605A" w:rsidRPr="00474548" w14:paraId="47B2A159" w14:textId="77777777" w:rsidTr="00AB10E8">
        <w:trPr>
          <w:trHeight w:val="285"/>
        </w:trPr>
        <w:tc>
          <w:tcPr>
            <w:tcW w:w="1917" w:type="pct"/>
            <w:gridSpan w:val="2"/>
            <w:tcBorders>
              <w:top w:val="nil"/>
              <w:left w:val="nil"/>
              <w:bottom w:val="nil"/>
              <w:right w:val="nil"/>
            </w:tcBorders>
            <w:shd w:val="clear" w:color="auto" w:fill="auto"/>
            <w:noWrap/>
            <w:vAlign w:val="center"/>
            <w:hideMark/>
          </w:tcPr>
          <w:p w14:paraId="7970CA6E" w14:textId="223A991B"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not adjusted = 0</w:t>
            </w:r>
            <w:r w:rsidR="00BB60E3" w:rsidRPr="00474548">
              <w:rPr>
                <w:color w:val="000000"/>
                <w:sz w:val="20"/>
                <w:szCs w:val="20"/>
                <w:lang w:val="en-US"/>
              </w:rPr>
              <w:t>.</w:t>
            </w:r>
            <w:r w:rsidRPr="00474548">
              <w:rPr>
                <w:color w:val="000000"/>
                <w:sz w:val="20"/>
                <w:szCs w:val="20"/>
                <w:lang w:val="en-US"/>
              </w:rPr>
              <w:t>657189</w:t>
            </w:r>
          </w:p>
        </w:tc>
        <w:tc>
          <w:tcPr>
            <w:tcW w:w="768" w:type="pct"/>
            <w:tcBorders>
              <w:top w:val="nil"/>
              <w:left w:val="nil"/>
              <w:bottom w:val="nil"/>
              <w:right w:val="nil"/>
            </w:tcBorders>
            <w:shd w:val="clear" w:color="auto" w:fill="auto"/>
            <w:noWrap/>
            <w:vAlign w:val="bottom"/>
            <w:hideMark/>
          </w:tcPr>
          <w:p w14:paraId="7712CB47" w14:textId="77777777" w:rsidR="005B605A" w:rsidRPr="00474548" w:rsidRDefault="005B605A" w:rsidP="008E6F8E">
            <w:pPr>
              <w:rPr>
                <w:rFonts w:eastAsia="Times New Roman"/>
                <w:color w:val="000000"/>
                <w:sz w:val="20"/>
                <w:szCs w:val="20"/>
                <w:lang w:val="en-US"/>
              </w:rPr>
            </w:pPr>
          </w:p>
        </w:tc>
        <w:tc>
          <w:tcPr>
            <w:tcW w:w="2315" w:type="pct"/>
            <w:gridSpan w:val="3"/>
            <w:tcBorders>
              <w:top w:val="nil"/>
              <w:left w:val="nil"/>
              <w:bottom w:val="nil"/>
              <w:right w:val="nil"/>
            </w:tcBorders>
            <w:shd w:val="clear" w:color="auto" w:fill="auto"/>
            <w:noWrap/>
            <w:vAlign w:val="center"/>
            <w:hideMark/>
          </w:tcPr>
          <w:p w14:paraId="270D6399"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LM test for autocorrelation up to order 5 -</w:t>
            </w:r>
          </w:p>
        </w:tc>
      </w:tr>
      <w:tr w:rsidR="005B605A" w:rsidRPr="00474548" w14:paraId="2B98CDB3" w14:textId="77777777" w:rsidTr="00AB10E8">
        <w:trPr>
          <w:trHeight w:val="285"/>
        </w:trPr>
        <w:tc>
          <w:tcPr>
            <w:tcW w:w="1917" w:type="pct"/>
            <w:gridSpan w:val="2"/>
            <w:tcBorders>
              <w:top w:val="nil"/>
              <w:left w:val="nil"/>
              <w:bottom w:val="nil"/>
              <w:right w:val="nil"/>
            </w:tcBorders>
            <w:shd w:val="clear" w:color="auto" w:fill="auto"/>
            <w:noWrap/>
            <w:vAlign w:val="center"/>
            <w:hideMark/>
          </w:tcPr>
          <w:p w14:paraId="2AE4B916" w14:textId="3D105A94"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adjusted = 0</w:t>
            </w:r>
            <w:r w:rsidR="00BB60E3" w:rsidRPr="00474548">
              <w:rPr>
                <w:color w:val="000000"/>
                <w:sz w:val="20"/>
                <w:szCs w:val="20"/>
                <w:lang w:val="en-US"/>
              </w:rPr>
              <w:t>.</w:t>
            </w:r>
            <w:r w:rsidRPr="00474548">
              <w:rPr>
                <w:color w:val="000000"/>
                <w:sz w:val="20"/>
                <w:szCs w:val="20"/>
                <w:lang w:val="en-US"/>
              </w:rPr>
              <w:t>657035</w:t>
            </w:r>
          </w:p>
        </w:tc>
        <w:tc>
          <w:tcPr>
            <w:tcW w:w="768" w:type="pct"/>
            <w:tcBorders>
              <w:top w:val="nil"/>
              <w:left w:val="nil"/>
              <w:bottom w:val="nil"/>
              <w:right w:val="nil"/>
            </w:tcBorders>
            <w:shd w:val="clear" w:color="auto" w:fill="auto"/>
            <w:noWrap/>
            <w:vAlign w:val="bottom"/>
            <w:hideMark/>
          </w:tcPr>
          <w:p w14:paraId="239D4E18" w14:textId="77777777" w:rsidR="005B605A" w:rsidRPr="00474548" w:rsidRDefault="005B605A" w:rsidP="008E6F8E">
            <w:pPr>
              <w:rPr>
                <w:rFonts w:eastAsia="Times New Roman"/>
                <w:color w:val="000000"/>
                <w:sz w:val="20"/>
                <w:szCs w:val="20"/>
                <w:lang w:val="en-US"/>
              </w:rPr>
            </w:pPr>
          </w:p>
        </w:tc>
        <w:tc>
          <w:tcPr>
            <w:tcW w:w="2315" w:type="pct"/>
            <w:gridSpan w:val="3"/>
            <w:tcBorders>
              <w:top w:val="nil"/>
              <w:left w:val="nil"/>
              <w:bottom w:val="nil"/>
              <w:right w:val="nil"/>
            </w:tcBorders>
            <w:shd w:val="clear" w:color="auto" w:fill="auto"/>
            <w:noWrap/>
            <w:vAlign w:val="center"/>
            <w:hideMark/>
          </w:tcPr>
          <w:p w14:paraId="64C9C509"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Null hypotheses: without autocorrelation</w:t>
            </w:r>
          </w:p>
        </w:tc>
      </w:tr>
      <w:tr w:rsidR="005B605A" w:rsidRPr="00474548" w14:paraId="229B0A1A" w14:textId="77777777" w:rsidTr="00AB10E8">
        <w:trPr>
          <w:trHeight w:val="255"/>
        </w:trPr>
        <w:tc>
          <w:tcPr>
            <w:tcW w:w="2685" w:type="pct"/>
            <w:gridSpan w:val="3"/>
            <w:tcBorders>
              <w:top w:val="nil"/>
              <w:left w:val="nil"/>
              <w:bottom w:val="nil"/>
              <w:right w:val="nil"/>
            </w:tcBorders>
            <w:shd w:val="clear" w:color="auto" w:fill="auto"/>
            <w:noWrap/>
            <w:vAlign w:val="center"/>
            <w:hideMark/>
          </w:tcPr>
          <w:p w14:paraId="2018274B"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Statistics-F (2.4449) = 4264.5 (p-value &lt; 0.00001)</w:t>
            </w:r>
          </w:p>
        </w:tc>
        <w:tc>
          <w:tcPr>
            <w:tcW w:w="2315" w:type="pct"/>
            <w:gridSpan w:val="3"/>
            <w:tcBorders>
              <w:top w:val="nil"/>
              <w:left w:val="nil"/>
              <w:bottom w:val="nil"/>
              <w:right w:val="nil"/>
            </w:tcBorders>
            <w:shd w:val="clear" w:color="auto" w:fill="auto"/>
            <w:noWrap/>
            <w:vAlign w:val="center"/>
            <w:hideMark/>
          </w:tcPr>
          <w:p w14:paraId="59A824DD" w14:textId="376FBB54"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Test statistics: LMF = 1</w:t>
            </w:r>
            <w:r w:rsidR="00BB60E3" w:rsidRPr="00474548">
              <w:rPr>
                <w:color w:val="000000"/>
                <w:sz w:val="20"/>
                <w:szCs w:val="20"/>
                <w:lang w:val="en-US"/>
              </w:rPr>
              <w:t>.</w:t>
            </w:r>
            <w:r w:rsidRPr="00474548">
              <w:rPr>
                <w:color w:val="000000"/>
                <w:sz w:val="20"/>
                <w:szCs w:val="20"/>
                <w:lang w:val="en-US"/>
              </w:rPr>
              <w:t>26776</w:t>
            </w:r>
          </w:p>
        </w:tc>
      </w:tr>
      <w:tr w:rsidR="005B605A" w:rsidRPr="00474548" w14:paraId="4A0102C0" w14:textId="77777777" w:rsidTr="00AB10E8">
        <w:trPr>
          <w:trHeight w:val="255"/>
        </w:trPr>
        <w:tc>
          <w:tcPr>
            <w:tcW w:w="2685" w:type="pct"/>
            <w:gridSpan w:val="3"/>
            <w:tcBorders>
              <w:top w:val="nil"/>
              <w:left w:val="nil"/>
              <w:bottom w:val="single" w:sz="4" w:space="0" w:color="auto"/>
              <w:right w:val="nil"/>
            </w:tcBorders>
            <w:shd w:val="clear" w:color="auto" w:fill="auto"/>
            <w:noWrap/>
            <w:vAlign w:val="center"/>
            <w:hideMark/>
          </w:tcPr>
          <w:p w14:paraId="30DF5CCA" w14:textId="54725E01" w:rsidR="005B605A" w:rsidRPr="00474548" w:rsidRDefault="005B605A" w:rsidP="008E6F8E">
            <w:pPr>
              <w:rPr>
                <w:rFonts w:eastAsia="Times New Roman"/>
                <w:color w:val="000000"/>
                <w:sz w:val="20"/>
                <w:szCs w:val="20"/>
                <w:lang w:val="en-US"/>
              </w:rPr>
            </w:pPr>
            <w:r w:rsidRPr="00474548">
              <w:rPr>
                <w:color w:val="000000"/>
                <w:sz w:val="20"/>
                <w:szCs w:val="20"/>
                <w:lang w:val="en-US"/>
              </w:rPr>
              <w:t>Durbin-Watson Statistics = 2</w:t>
            </w:r>
            <w:r w:rsidR="00BB60E3" w:rsidRPr="00474548">
              <w:rPr>
                <w:color w:val="000000"/>
                <w:sz w:val="20"/>
                <w:szCs w:val="20"/>
                <w:lang w:val="en-US"/>
              </w:rPr>
              <w:t>.</w:t>
            </w:r>
            <w:r w:rsidRPr="00474548">
              <w:rPr>
                <w:color w:val="000000"/>
                <w:sz w:val="20"/>
                <w:szCs w:val="20"/>
                <w:lang w:val="en-US"/>
              </w:rPr>
              <w:t>0211</w:t>
            </w:r>
          </w:p>
        </w:tc>
        <w:tc>
          <w:tcPr>
            <w:tcW w:w="2315" w:type="pct"/>
            <w:gridSpan w:val="3"/>
            <w:tcBorders>
              <w:top w:val="nil"/>
              <w:left w:val="nil"/>
              <w:bottom w:val="single" w:sz="4" w:space="0" w:color="auto"/>
              <w:right w:val="nil"/>
            </w:tcBorders>
            <w:shd w:val="clear" w:color="auto" w:fill="auto"/>
            <w:noWrap/>
            <w:vAlign w:val="center"/>
            <w:hideMark/>
          </w:tcPr>
          <w:p w14:paraId="03F786F4" w14:textId="778B8CBA"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w:t>
            </w:r>
            <w:proofErr w:type="gramStart"/>
            <w:r w:rsidRPr="00474548">
              <w:rPr>
                <w:color w:val="000000"/>
                <w:sz w:val="20"/>
                <w:szCs w:val="20"/>
                <w:lang w:val="en-US"/>
              </w:rPr>
              <w:t>with</w:t>
            </w:r>
            <w:proofErr w:type="gramEnd"/>
            <w:r w:rsidRPr="00474548">
              <w:rPr>
                <w:color w:val="000000"/>
                <w:sz w:val="20"/>
                <w:szCs w:val="20"/>
                <w:lang w:val="en-US"/>
              </w:rPr>
              <w:t xml:space="preserve"> p-value = P(F(5</w:t>
            </w:r>
            <w:r w:rsidR="00BB60E3" w:rsidRPr="00474548">
              <w:rPr>
                <w:color w:val="000000"/>
                <w:sz w:val="20"/>
                <w:szCs w:val="20"/>
                <w:lang w:val="en-US"/>
              </w:rPr>
              <w:t>.</w:t>
            </w:r>
            <w:r w:rsidRPr="00474548">
              <w:rPr>
                <w:color w:val="000000"/>
                <w:sz w:val="20"/>
                <w:szCs w:val="20"/>
                <w:lang w:val="en-US"/>
              </w:rPr>
              <w:t>4439) &gt; 1</w:t>
            </w:r>
            <w:r w:rsidR="00BB60E3" w:rsidRPr="00474548">
              <w:rPr>
                <w:color w:val="000000"/>
                <w:sz w:val="20"/>
                <w:szCs w:val="20"/>
                <w:lang w:val="en-US"/>
              </w:rPr>
              <w:t>.</w:t>
            </w:r>
            <w:r w:rsidRPr="00474548">
              <w:rPr>
                <w:color w:val="000000"/>
                <w:sz w:val="20"/>
                <w:szCs w:val="20"/>
                <w:lang w:val="en-US"/>
              </w:rPr>
              <w:t>26776) = 0</w:t>
            </w:r>
            <w:r w:rsidR="00BB60E3" w:rsidRPr="00474548">
              <w:rPr>
                <w:color w:val="000000"/>
                <w:sz w:val="20"/>
                <w:szCs w:val="20"/>
                <w:lang w:val="en-US"/>
              </w:rPr>
              <w:t>.</w:t>
            </w:r>
            <w:r w:rsidRPr="00474548">
              <w:rPr>
                <w:color w:val="000000"/>
                <w:sz w:val="20"/>
                <w:szCs w:val="20"/>
                <w:lang w:val="en-US"/>
              </w:rPr>
              <w:t>2748</w:t>
            </w:r>
          </w:p>
        </w:tc>
      </w:tr>
    </w:tbl>
    <w:p w14:paraId="23D35DDD" w14:textId="77777777" w:rsidR="005B605A" w:rsidRPr="00474548" w:rsidRDefault="005B605A" w:rsidP="008E6F8E">
      <w:pPr>
        <w:pStyle w:val="ListParagraph"/>
        <w:autoSpaceDE w:val="0"/>
        <w:autoSpaceDN w:val="0"/>
        <w:adjustRightInd w:val="0"/>
        <w:ind w:left="0"/>
        <w:rPr>
          <w:sz w:val="22"/>
          <w:szCs w:val="22"/>
          <w:lang w:val="en-US"/>
        </w:rPr>
      </w:pPr>
    </w:p>
    <w:p w14:paraId="7EC4A027" w14:textId="21946474" w:rsidR="005B605A" w:rsidRPr="00474548" w:rsidRDefault="00BB60E3" w:rsidP="008E6F8E">
      <w:pPr>
        <w:pStyle w:val="ListParagraph"/>
        <w:autoSpaceDE w:val="0"/>
        <w:autoSpaceDN w:val="0"/>
        <w:adjustRightInd w:val="0"/>
        <w:ind w:left="0" w:firstLine="720"/>
        <w:jc w:val="both"/>
        <w:rPr>
          <w:sz w:val="22"/>
          <w:szCs w:val="22"/>
          <w:lang w:val="en-US"/>
        </w:rPr>
      </w:pPr>
      <w:r w:rsidRPr="00474548">
        <w:rPr>
          <w:sz w:val="22"/>
          <w:szCs w:val="22"/>
          <w:lang w:val="en-US"/>
        </w:rPr>
        <w:t>The</w:t>
      </w:r>
      <w:r w:rsidRPr="00474548">
        <w:rPr>
          <w:i/>
          <w:sz w:val="22"/>
          <w:szCs w:val="22"/>
          <w:lang w:val="en-US"/>
        </w:rPr>
        <w:t xml:space="preserve"> d</w:t>
      </w:r>
      <w:r w:rsidR="005B605A" w:rsidRPr="00474548">
        <w:rPr>
          <w:i/>
          <w:sz w:val="22"/>
          <w:szCs w:val="22"/>
          <w:lang w:val="en-US"/>
        </w:rPr>
        <w:t>ummy</w:t>
      </w:r>
      <w:r w:rsidR="005B605A" w:rsidRPr="00474548">
        <w:rPr>
          <w:sz w:val="22"/>
          <w:szCs w:val="22"/>
          <w:lang w:val="en-US"/>
        </w:rPr>
        <w:t xml:space="preserve"> variable</w:t>
      </w:r>
      <w:r w:rsidR="00CD3BA2" w:rsidRPr="00474548">
        <w:rPr>
          <w:sz w:val="22"/>
          <w:szCs w:val="22"/>
          <w:lang w:val="en-US"/>
        </w:rPr>
        <w:t>,</w:t>
      </w:r>
      <w:r w:rsidR="005B605A" w:rsidRPr="00474548">
        <w:rPr>
          <w:sz w:val="22"/>
          <w:szCs w:val="22"/>
          <w:lang w:val="en-US"/>
        </w:rPr>
        <w:t xml:space="preserve"> indicative of regulatory risk of </w:t>
      </w:r>
      <w:r w:rsidR="003415E8" w:rsidRPr="00474548">
        <w:rPr>
          <w:sz w:val="22"/>
          <w:szCs w:val="22"/>
          <w:lang w:val="en-US"/>
        </w:rPr>
        <w:t>s</w:t>
      </w:r>
      <w:r w:rsidR="005B605A" w:rsidRPr="00474548">
        <w:rPr>
          <w:sz w:val="22"/>
          <w:szCs w:val="22"/>
          <w:lang w:val="en-US"/>
        </w:rPr>
        <w:t xml:space="preserve">trong </w:t>
      </w:r>
      <w:r w:rsidR="003415E8" w:rsidRPr="00474548">
        <w:rPr>
          <w:sz w:val="22"/>
          <w:szCs w:val="22"/>
          <w:lang w:val="en-US"/>
        </w:rPr>
        <w:t>i</w:t>
      </w:r>
      <w:r w:rsidR="005B605A" w:rsidRPr="00474548">
        <w:rPr>
          <w:sz w:val="22"/>
          <w:szCs w:val="22"/>
          <w:lang w:val="en-US"/>
        </w:rPr>
        <w:t>ntensity events</w:t>
      </w:r>
      <w:r w:rsidR="00CD3BA2" w:rsidRPr="00474548">
        <w:rPr>
          <w:sz w:val="22"/>
          <w:szCs w:val="22"/>
          <w:lang w:val="en-US"/>
        </w:rPr>
        <w:t>,</w:t>
      </w:r>
      <w:r w:rsidR="005B605A" w:rsidRPr="00474548">
        <w:rPr>
          <w:sz w:val="22"/>
          <w:szCs w:val="22"/>
          <w:lang w:val="en-US"/>
        </w:rPr>
        <w:t xml:space="preserve"> is statistically significant at 1% and </w:t>
      </w:r>
      <w:r w:rsidR="007715D2" w:rsidRPr="00474548">
        <w:rPr>
          <w:sz w:val="22"/>
          <w:szCs w:val="22"/>
          <w:lang w:val="en-US"/>
        </w:rPr>
        <w:t xml:space="preserve">has an impact of </w:t>
      </w:r>
      <w:r w:rsidR="005B605A" w:rsidRPr="00474548">
        <w:rPr>
          <w:sz w:val="22"/>
          <w:szCs w:val="22"/>
          <w:lang w:val="en-US"/>
        </w:rPr>
        <w:t xml:space="preserve">3.1% on the </w:t>
      </w:r>
      <w:r w:rsidR="005D2747" w:rsidRPr="00474548">
        <w:rPr>
          <w:sz w:val="22"/>
          <w:szCs w:val="22"/>
          <w:lang w:val="en-US"/>
        </w:rPr>
        <w:t>stock</w:t>
      </w:r>
      <w:r w:rsidR="00A9583B" w:rsidRPr="00474548">
        <w:rPr>
          <w:sz w:val="22"/>
          <w:szCs w:val="22"/>
          <w:lang w:val="en-US"/>
        </w:rPr>
        <w:t xml:space="preserve"> risk</w:t>
      </w:r>
      <w:r w:rsidR="007F6733" w:rsidRPr="00474548">
        <w:rPr>
          <w:sz w:val="22"/>
          <w:szCs w:val="22"/>
          <w:lang w:val="en-US"/>
        </w:rPr>
        <w:t>s</w:t>
      </w:r>
      <w:r w:rsidR="005B605A" w:rsidRPr="00474548">
        <w:rPr>
          <w:sz w:val="22"/>
          <w:szCs w:val="22"/>
          <w:lang w:val="en-US"/>
        </w:rPr>
        <w:t xml:space="preserve"> comprising the IEE.</w:t>
      </w:r>
    </w:p>
    <w:p w14:paraId="5840F333" w14:textId="77777777" w:rsidR="005B605A" w:rsidRPr="00474548" w:rsidRDefault="005B605A" w:rsidP="008E6F8E">
      <w:pPr>
        <w:pStyle w:val="ListParagraph"/>
        <w:autoSpaceDE w:val="0"/>
        <w:autoSpaceDN w:val="0"/>
        <w:adjustRightInd w:val="0"/>
        <w:ind w:firstLine="720"/>
        <w:jc w:val="both"/>
        <w:rPr>
          <w:sz w:val="22"/>
          <w:szCs w:val="22"/>
          <w:lang w:val="en-US"/>
        </w:rPr>
      </w:pPr>
    </w:p>
    <w:p w14:paraId="0921E7C1" w14:textId="743BBBEB" w:rsidR="005B605A" w:rsidRPr="00474548" w:rsidRDefault="005B605A" w:rsidP="008E6F8E">
      <w:pPr>
        <w:pStyle w:val="Subtitle"/>
        <w:rPr>
          <w:rFonts w:ascii="Times New Roman" w:hAnsi="Times New Roman"/>
          <w:sz w:val="22"/>
          <w:szCs w:val="22"/>
          <w:lang w:val="en-US"/>
        </w:rPr>
      </w:pPr>
      <w:bookmarkStart w:id="27" w:name="_Toc391473728"/>
      <w:r w:rsidRPr="00474548">
        <w:rPr>
          <w:rFonts w:ascii="Times New Roman" w:hAnsi="Times New Roman"/>
          <w:sz w:val="22"/>
          <w:szCs w:val="22"/>
          <w:lang w:val="en-US"/>
        </w:rPr>
        <w:t xml:space="preserve">4.5.2 MP/Laws Type 2: Medium Intensity </w:t>
      </w:r>
      <w:bookmarkEnd w:id="27"/>
    </w:p>
    <w:p w14:paraId="74C4833E" w14:textId="43754DD3" w:rsidR="005B605A" w:rsidRPr="00474548" w:rsidRDefault="005B605A" w:rsidP="008E6F8E">
      <w:pPr>
        <w:pStyle w:val="ListParagraph"/>
        <w:autoSpaceDE w:val="0"/>
        <w:autoSpaceDN w:val="0"/>
        <w:adjustRightInd w:val="0"/>
        <w:ind w:left="0" w:firstLine="720"/>
        <w:jc w:val="both"/>
        <w:rPr>
          <w:sz w:val="22"/>
          <w:szCs w:val="22"/>
          <w:lang w:val="en-US"/>
        </w:rPr>
      </w:pPr>
      <w:r w:rsidRPr="00474548">
        <w:rPr>
          <w:sz w:val="22"/>
          <w:szCs w:val="22"/>
          <w:lang w:val="en-US"/>
        </w:rPr>
        <w:t xml:space="preserve">MP / Laws Type 2 events comprise a </w:t>
      </w:r>
      <w:r w:rsidRPr="00474548">
        <w:rPr>
          <w:i/>
          <w:sz w:val="22"/>
          <w:szCs w:val="22"/>
          <w:lang w:val="en-US"/>
        </w:rPr>
        <w:t>dummy</w:t>
      </w:r>
      <w:r w:rsidRPr="00474548">
        <w:rPr>
          <w:sz w:val="22"/>
          <w:szCs w:val="22"/>
          <w:lang w:val="en-US"/>
        </w:rPr>
        <w:t xml:space="preserve"> variable for Law 8</w:t>
      </w:r>
      <w:r w:rsidR="007715D2" w:rsidRPr="00474548">
        <w:rPr>
          <w:sz w:val="22"/>
          <w:szCs w:val="22"/>
          <w:lang w:val="en-US"/>
        </w:rPr>
        <w:t>,</w:t>
      </w:r>
      <w:r w:rsidRPr="00474548">
        <w:rPr>
          <w:sz w:val="22"/>
          <w:szCs w:val="22"/>
          <w:lang w:val="en-US"/>
        </w:rPr>
        <w:t xml:space="preserve">987 of </w:t>
      </w:r>
      <w:r w:rsidR="002B4AEF" w:rsidRPr="00474548">
        <w:rPr>
          <w:sz w:val="22"/>
          <w:szCs w:val="22"/>
          <w:lang w:val="en-US"/>
        </w:rPr>
        <w:t>02/13/1995</w:t>
      </w:r>
      <w:r w:rsidRPr="00474548">
        <w:rPr>
          <w:sz w:val="22"/>
          <w:szCs w:val="22"/>
          <w:lang w:val="en-US"/>
        </w:rPr>
        <w:t>, Law 9</w:t>
      </w:r>
      <w:r w:rsidR="002B4AEF" w:rsidRPr="00474548">
        <w:rPr>
          <w:sz w:val="22"/>
          <w:szCs w:val="22"/>
          <w:lang w:val="en-US"/>
        </w:rPr>
        <w:t>,</w:t>
      </w:r>
      <w:r w:rsidRPr="00474548">
        <w:rPr>
          <w:sz w:val="22"/>
          <w:szCs w:val="22"/>
          <w:lang w:val="en-US"/>
        </w:rPr>
        <w:t>074 of 07/07/1995</w:t>
      </w:r>
      <w:r w:rsidR="002B4AEF" w:rsidRPr="00474548">
        <w:rPr>
          <w:sz w:val="22"/>
          <w:szCs w:val="22"/>
          <w:lang w:val="en-US"/>
        </w:rPr>
        <w:t>,</w:t>
      </w:r>
      <w:r w:rsidRPr="00474548">
        <w:rPr>
          <w:sz w:val="22"/>
          <w:szCs w:val="22"/>
          <w:lang w:val="en-US"/>
        </w:rPr>
        <w:t xml:space="preserve"> </w:t>
      </w:r>
      <w:r w:rsidRPr="00474548">
        <w:rPr>
          <w:rStyle w:val="nomeproposicao"/>
          <w:sz w:val="22"/>
          <w:szCs w:val="22"/>
          <w:lang w:val="en-US"/>
        </w:rPr>
        <w:t xml:space="preserve">and MP 64/2002 of </w:t>
      </w:r>
      <w:r w:rsidR="002B4AEF" w:rsidRPr="00474548">
        <w:rPr>
          <w:rStyle w:val="nomeproposicao"/>
          <w:sz w:val="22"/>
          <w:szCs w:val="22"/>
          <w:lang w:val="en-US"/>
        </w:rPr>
        <w:t>08/27/2002</w:t>
      </w:r>
      <w:r w:rsidRPr="00474548">
        <w:rPr>
          <w:rStyle w:val="nomeproposicao"/>
          <w:sz w:val="22"/>
          <w:szCs w:val="22"/>
          <w:lang w:val="en-US"/>
        </w:rPr>
        <w:t xml:space="preserve"> converted </w:t>
      </w:r>
      <w:r w:rsidR="002B4AEF" w:rsidRPr="00474548">
        <w:rPr>
          <w:rStyle w:val="nomeproposicao"/>
          <w:sz w:val="22"/>
          <w:szCs w:val="22"/>
          <w:lang w:val="en-US"/>
        </w:rPr>
        <w:t xml:space="preserve">to </w:t>
      </w:r>
      <w:r w:rsidRPr="00474548">
        <w:rPr>
          <w:sz w:val="22"/>
          <w:szCs w:val="22"/>
          <w:lang w:val="en-US"/>
        </w:rPr>
        <w:t>Law 10</w:t>
      </w:r>
      <w:r w:rsidR="002B4AEF" w:rsidRPr="00474548">
        <w:rPr>
          <w:sz w:val="22"/>
          <w:szCs w:val="22"/>
          <w:lang w:val="en-US"/>
        </w:rPr>
        <w:t>,</w:t>
      </w:r>
      <w:r w:rsidRPr="00474548">
        <w:rPr>
          <w:sz w:val="22"/>
          <w:szCs w:val="22"/>
          <w:lang w:val="en-US"/>
        </w:rPr>
        <w:t xml:space="preserve">604 of </w:t>
      </w:r>
      <w:r w:rsidR="002B4AEF" w:rsidRPr="00474548">
        <w:rPr>
          <w:sz w:val="22"/>
          <w:szCs w:val="22"/>
          <w:lang w:val="en-US"/>
        </w:rPr>
        <w:t>12/17/2002</w:t>
      </w:r>
      <w:r w:rsidRPr="00474548">
        <w:rPr>
          <w:sz w:val="22"/>
          <w:szCs w:val="22"/>
          <w:lang w:val="en-US"/>
        </w:rPr>
        <w:t xml:space="preserve">, all of </w:t>
      </w:r>
      <w:r w:rsidR="002B4AEF" w:rsidRPr="00474548">
        <w:rPr>
          <w:sz w:val="22"/>
          <w:szCs w:val="22"/>
          <w:lang w:val="en-US"/>
        </w:rPr>
        <w:t>m</w:t>
      </w:r>
      <w:r w:rsidRPr="00474548">
        <w:rPr>
          <w:sz w:val="22"/>
          <w:szCs w:val="22"/>
          <w:lang w:val="en-US"/>
        </w:rPr>
        <w:t xml:space="preserve">edium </w:t>
      </w:r>
      <w:r w:rsidR="009F2C79" w:rsidRPr="00474548">
        <w:rPr>
          <w:sz w:val="22"/>
          <w:szCs w:val="22"/>
          <w:lang w:val="en-US"/>
        </w:rPr>
        <w:t xml:space="preserve">content </w:t>
      </w:r>
      <w:r w:rsidR="002B4AEF" w:rsidRPr="00474548">
        <w:rPr>
          <w:sz w:val="22"/>
          <w:szCs w:val="22"/>
          <w:lang w:val="en-US"/>
        </w:rPr>
        <w:t>i</w:t>
      </w:r>
      <w:r w:rsidRPr="00474548">
        <w:rPr>
          <w:sz w:val="22"/>
          <w:szCs w:val="22"/>
          <w:lang w:val="en-US"/>
        </w:rPr>
        <w:t xml:space="preserve">ntensity. </w:t>
      </w:r>
      <w:r w:rsidR="009F49FD" w:rsidRPr="00474548">
        <w:rPr>
          <w:sz w:val="22"/>
          <w:szCs w:val="22"/>
          <w:lang w:val="en-US"/>
        </w:rPr>
        <w:t>The results are shown in Table 9</w:t>
      </w:r>
      <w:r w:rsidR="001809F1" w:rsidRPr="00474548">
        <w:rPr>
          <w:sz w:val="22"/>
          <w:szCs w:val="22"/>
          <w:lang w:val="en-US"/>
        </w:rPr>
        <w:t>.</w:t>
      </w:r>
    </w:p>
    <w:p w14:paraId="13292E1A" w14:textId="1E1B284F" w:rsidR="001809F1" w:rsidRPr="00474548" w:rsidRDefault="001809F1" w:rsidP="000F7154">
      <w:pPr>
        <w:pStyle w:val="ListParagraph"/>
        <w:autoSpaceDE w:val="0"/>
        <w:autoSpaceDN w:val="0"/>
        <w:adjustRightInd w:val="0"/>
        <w:ind w:left="0" w:firstLine="720"/>
        <w:jc w:val="both"/>
        <w:rPr>
          <w:sz w:val="22"/>
          <w:szCs w:val="22"/>
          <w:lang w:val="en-US"/>
        </w:rPr>
      </w:pPr>
      <w:r w:rsidRPr="00474548">
        <w:rPr>
          <w:sz w:val="22"/>
          <w:szCs w:val="22"/>
          <w:lang w:val="en-US"/>
        </w:rPr>
        <w:t xml:space="preserve">The </w:t>
      </w:r>
      <w:r w:rsidRPr="00474548">
        <w:rPr>
          <w:i/>
          <w:sz w:val="22"/>
          <w:szCs w:val="22"/>
          <w:lang w:val="en-US"/>
        </w:rPr>
        <w:t xml:space="preserve">Dummy </w:t>
      </w:r>
      <w:r w:rsidRPr="00474548">
        <w:rPr>
          <w:sz w:val="22"/>
          <w:szCs w:val="22"/>
          <w:lang w:val="en-US"/>
        </w:rPr>
        <w:t>variable, indicative of regulatory risk for MP/Laws Type 2 events with medium intensity, emerges significant at 5% level. However, the impact of 2% on the stock risks comprising the IEE is lower when compared to the strong intensity impact witnessed in the MP/Laws Type 1 events.</w:t>
      </w:r>
    </w:p>
    <w:p w14:paraId="31EBE134" w14:textId="77777777" w:rsidR="005B605A" w:rsidRPr="00474548" w:rsidRDefault="005B605A" w:rsidP="008E6F8E">
      <w:pPr>
        <w:pStyle w:val="ListParagraph"/>
        <w:autoSpaceDE w:val="0"/>
        <w:autoSpaceDN w:val="0"/>
        <w:adjustRightInd w:val="0"/>
        <w:ind w:left="0" w:firstLine="720"/>
        <w:jc w:val="both"/>
        <w:rPr>
          <w:sz w:val="22"/>
          <w:szCs w:val="22"/>
          <w:lang w:val="en-US"/>
        </w:rPr>
      </w:pPr>
    </w:p>
    <w:p w14:paraId="412B4F26" w14:textId="389822E3" w:rsidR="005B605A" w:rsidRPr="00474548" w:rsidRDefault="009F49FD" w:rsidP="008E6F8E">
      <w:pPr>
        <w:pStyle w:val="Caption"/>
        <w:spacing w:after="0"/>
        <w:rPr>
          <w:b w:val="0"/>
          <w:color w:val="auto"/>
          <w:sz w:val="22"/>
          <w:szCs w:val="22"/>
          <w:lang w:val="en-US"/>
        </w:rPr>
      </w:pPr>
      <w:bookmarkStart w:id="28" w:name="_Toc391499590"/>
      <w:r w:rsidRPr="00474548">
        <w:rPr>
          <w:b w:val="0"/>
          <w:color w:val="auto"/>
          <w:sz w:val="22"/>
          <w:szCs w:val="22"/>
          <w:lang w:val="en-US"/>
        </w:rPr>
        <w:t>Table 9</w:t>
      </w:r>
      <w:r w:rsidR="005B605A" w:rsidRPr="00474548">
        <w:rPr>
          <w:b w:val="0"/>
          <w:color w:val="auto"/>
          <w:sz w:val="22"/>
          <w:szCs w:val="22"/>
          <w:lang w:val="en-US"/>
        </w:rPr>
        <w:t xml:space="preserve"> - Results of MP /LAWS Type 2 events.</w:t>
      </w:r>
      <w:bookmarkEnd w:id="28"/>
    </w:p>
    <w:tbl>
      <w:tblPr>
        <w:tblW w:w="5000" w:type="pct"/>
        <w:tblCellMar>
          <w:left w:w="70" w:type="dxa"/>
          <w:right w:w="70" w:type="dxa"/>
        </w:tblCellMar>
        <w:tblLook w:val="04A0" w:firstRow="1" w:lastRow="0" w:firstColumn="1" w:lastColumn="0" w:noHBand="0" w:noVBand="1"/>
      </w:tblPr>
      <w:tblGrid>
        <w:gridCol w:w="1557"/>
        <w:gridCol w:w="1554"/>
        <w:gridCol w:w="1389"/>
        <w:gridCol w:w="1634"/>
        <w:gridCol w:w="1145"/>
        <w:gridCol w:w="1881"/>
      </w:tblGrid>
      <w:tr w:rsidR="005B605A" w:rsidRPr="00474548" w14:paraId="2EFE218F" w14:textId="77777777" w:rsidTr="00AB10E8">
        <w:trPr>
          <w:trHeight w:val="346"/>
        </w:trPr>
        <w:tc>
          <w:tcPr>
            <w:tcW w:w="850" w:type="pct"/>
            <w:tcBorders>
              <w:top w:val="single" w:sz="4" w:space="0" w:color="auto"/>
              <w:bottom w:val="single" w:sz="4" w:space="0" w:color="auto"/>
            </w:tcBorders>
            <w:shd w:val="clear" w:color="000000" w:fill="D9D9D9"/>
            <w:vAlign w:val="center"/>
            <w:hideMark/>
          </w:tcPr>
          <w:p w14:paraId="358834AE"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Variable</w:t>
            </w:r>
          </w:p>
        </w:tc>
        <w:tc>
          <w:tcPr>
            <w:tcW w:w="848" w:type="pct"/>
            <w:tcBorders>
              <w:top w:val="single" w:sz="4" w:space="0" w:color="auto"/>
              <w:bottom w:val="single" w:sz="4" w:space="0" w:color="auto"/>
            </w:tcBorders>
            <w:shd w:val="clear" w:color="000000" w:fill="D9D9D9"/>
            <w:vAlign w:val="center"/>
            <w:hideMark/>
          </w:tcPr>
          <w:p w14:paraId="4559C2D0"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Coefficient</w:t>
            </w:r>
          </w:p>
        </w:tc>
        <w:tc>
          <w:tcPr>
            <w:tcW w:w="758" w:type="pct"/>
            <w:tcBorders>
              <w:top w:val="single" w:sz="4" w:space="0" w:color="auto"/>
              <w:bottom w:val="single" w:sz="4" w:space="0" w:color="auto"/>
            </w:tcBorders>
            <w:shd w:val="clear" w:color="000000" w:fill="D9D9D9"/>
            <w:vAlign w:val="center"/>
            <w:hideMark/>
          </w:tcPr>
          <w:p w14:paraId="1F9389F8"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Standard Error</w:t>
            </w:r>
          </w:p>
        </w:tc>
        <w:tc>
          <w:tcPr>
            <w:tcW w:w="892" w:type="pct"/>
            <w:tcBorders>
              <w:top w:val="single" w:sz="4" w:space="0" w:color="auto"/>
              <w:bottom w:val="single" w:sz="4" w:space="0" w:color="auto"/>
            </w:tcBorders>
            <w:shd w:val="clear" w:color="000000" w:fill="D9D9D9"/>
            <w:vAlign w:val="center"/>
            <w:hideMark/>
          </w:tcPr>
          <w:p w14:paraId="7A20B1DA" w14:textId="4EEF26B6" w:rsidR="005B605A" w:rsidRPr="00474548" w:rsidRDefault="00A8308C" w:rsidP="008E6F8E">
            <w:pPr>
              <w:jc w:val="center"/>
              <w:rPr>
                <w:rFonts w:eastAsia="Times New Roman"/>
                <w:i/>
                <w:iCs/>
                <w:color w:val="000000"/>
                <w:sz w:val="20"/>
                <w:szCs w:val="20"/>
                <w:lang w:val="en-US"/>
              </w:rPr>
            </w:pPr>
            <w:r w:rsidRPr="00474548">
              <w:rPr>
                <w:color w:val="000000"/>
                <w:kern w:val="0"/>
                <w:sz w:val="20"/>
                <w:szCs w:val="20"/>
                <w:lang w:val="en-US"/>
              </w:rPr>
              <w:t>Standardized Beta</w:t>
            </w:r>
          </w:p>
        </w:tc>
        <w:tc>
          <w:tcPr>
            <w:tcW w:w="625" w:type="pct"/>
            <w:tcBorders>
              <w:top w:val="single" w:sz="4" w:space="0" w:color="auto"/>
              <w:bottom w:val="single" w:sz="4" w:space="0" w:color="auto"/>
            </w:tcBorders>
            <w:shd w:val="clear" w:color="000000" w:fill="D9D9D9"/>
            <w:vAlign w:val="center"/>
          </w:tcPr>
          <w:p w14:paraId="5353F254" w14:textId="07FF36D1" w:rsidR="005B605A" w:rsidRPr="00474548" w:rsidRDefault="003415E8" w:rsidP="008E6F8E">
            <w:pPr>
              <w:jc w:val="center"/>
              <w:rPr>
                <w:rFonts w:eastAsia="Times New Roman"/>
                <w:i/>
                <w:iCs/>
                <w:color w:val="000000"/>
                <w:sz w:val="20"/>
                <w:szCs w:val="20"/>
                <w:lang w:val="en-US"/>
              </w:rPr>
            </w:pPr>
            <w:proofErr w:type="gramStart"/>
            <w:r w:rsidRPr="00474548">
              <w:rPr>
                <w:i/>
                <w:color w:val="000000"/>
                <w:sz w:val="20"/>
                <w:szCs w:val="20"/>
                <w:lang w:val="en-US"/>
              </w:rPr>
              <w:t>t</w:t>
            </w:r>
            <w:proofErr w:type="gramEnd"/>
            <w:r w:rsidRPr="00474548">
              <w:rPr>
                <w:i/>
                <w:color w:val="000000"/>
                <w:sz w:val="20"/>
                <w:szCs w:val="20"/>
                <w:lang w:val="en-US"/>
              </w:rPr>
              <w:t>-</w:t>
            </w:r>
            <w:r w:rsidR="005B605A" w:rsidRPr="00474548">
              <w:rPr>
                <w:i/>
                <w:color w:val="000000"/>
                <w:sz w:val="20"/>
                <w:szCs w:val="20"/>
                <w:lang w:val="en-US"/>
              </w:rPr>
              <w:t>statistics</w:t>
            </w:r>
          </w:p>
        </w:tc>
        <w:tc>
          <w:tcPr>
            <w:tcW w:w="1028" w:type="pct"/>
            <w:tcBorders>
              <w:top w:val="single" w:sz="4" w:space="0" w:color="auto"/>
              <w:bottom w:val="single" w:sz="4" w:space="0" w:color="auto"/>
            </w:tcBorders>
            <w:shd w:val="clear" w:color="000000" w:fill="D9D9D9"/>
            <w:vAlign w:val="center"/>
            <w:hideMark/>
          </w:tcPr>
          <w:p w14:paraId="56845D5A" w14:textId="77777777" w:rsidR="005B605A" w:rsidRPr="00474548" w:rsidRDefault="005B605A" w:rsidP="008E6F8E">
            <w:pPr>
              <w:jc w:val="center"/>
              <w:rPr>
                <w:rFonts w:eastAsia="Times New Roman"/>
                <w:i/>
                <w:iCs/>
                <w:color w:val="000000"/>
                <w:sz w:val="20"/>
                <w:szCs w:val="20"/>
                <w:lang w:val="en-US"/>
              </w:rPr>
            </w:pPr>
            <w:proofErr w:type="gramStart"/>
            <w:r w:rsidRPr="00474548">
              <w:rPr>
                <w:i/>
                <w:color w:val="000000"/>
                <w:sz w:val="20"/>
                <w:szCs w:val="20"/>
                <w:lang w:val="en-US"/>
              </w:rPr>
              <w:t>p</w:t>
            </w:r>
            <w:proofErr w:type="gramEnd"/>
            <w:r w:rsidRPr="00474548">
              <w:rPr>
                <w:i/>
                <w:color w:val="000000"/>
                <w:sz w:val="20"/>
                <w:szCs w:val="20"/>
                <w:lang w:val="en-US"/>
              </w:rPr>
              <w:t>-value</w:t>
            </w:r>
          </w:p>
        </w:tc>
      </w:tr>
      <w:tr w:rsidR="005B605A" w:rsidRPr="00474548" w14:paraId="40AE2770" w14:textId="77777777" w:rsidTr="00AB10E8">
        <w:trPr>
          <w:trHeight w:val="268"/>
        </w:trPr>
        <w:tc>
          <w:tcPr>
            <w:tcW w:w="850" w:type="pct"/>
            <w:tcBorders>
              <w:top w:val="single" w:sz="4" w:space="0" w:color="auto"/>
            </w:tcBorders>
            <w:shd w:val="clear" w:color="auto" w:fill="auto"/>
            <w:vAlign w:val="center"/>
            <w:hideMark/>
          </w:tcPr>
          <w:p w14:paraId="665A38F3"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Const.</w:t>
            </w:r>
          </w:p>
        </w:tc>
        <w:tc>
          <w:tcPr>
            <w:tcW w:w="848" w:type="pct"/>
            <w:tcBorders>
              <w:top w:val="single" w:sz="4" w:space="0" w:color="auto"/>
            </w:tcBorders>
            <w:shd w:val="clear" w:color="auto" w:fill="auto"/>
            <w:vAlign w:val="center"/>
            <w:hideMark/>
          </w:tcPr>
          <w:p w14:paraId="2E479F7D"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0.000203499</w:t>
            </w:r>
          </w:p>
        </w:tc>
        <w:tc>
          <w:tcPr>
            <w:tcW w:w="758" w:type="pct"/>
            <w:tcBorders>
              <w:top w:val="single" w:sz="4" w:space="0" w:color="auto"/>
            </w:tcBorders>
            <w:shd w:val="clear" w:color="auto" w:fill="auto"/>
            <w:vAlign w:val="center"/>
            <w:hideMark/>
          </w:tcPr>
          <w:p w14:paraId="0CBE56C1"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0.000170185</w:t>
            </w:r>
          </w:p>
        </w:tc>
        <w:tc>
          <w:tcPr>
            <w:tcW w:w="892" w:type="pct"/>
            <w:tcBorders>
              <w:top w:val="single" w:sz="4" w:space="0" w:color="auto"/>
            </w:tcBorders>
            <w:shd w:val="clear" w:color="auto" w:fill="auto"/>
            <w:vAlign w:val="center"/>
            <w:hideMark/>
          </w:tcPr>
          <w:p w14:paraId="7D12E381" w14:textId="77777777" w:rsidR="005B605A" w:rsidRPr="00474548" w:rsidRDefault="005B605A" w:rsidP="008E6F8E">
            <w:pPr>
              <w:jc w:val="center"/>
              <w:rPr>
                <w:rFonts w:eastAsia="Times New Roman"/>
                <w:color w:val="000000"/>
                <w:sz w:val="20"/>
                <w:szCs w:val="20"/>
                <w:lang w:val="en-US"/>
              </w:rPr>
            </w:pPr>
          </w:p>
        </w:tc>
        <w:tc>
          <w:tcPr>
            <w:tcW w:w="625" w:type="pct"/>
            <w:tcBorders>
              <w:top w:val="single" w:sz="4" w:space="0" w:color="auto"/>
            </w:tcBorders>
            <w:shd w:val="clear" w:color="auto" w:fill="auto"/>
            <w:vAlign w:val="center"/>
          </w:tcPr>
          <w:p w14:paraId="58AED14F"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1.1958</w:t>
            </w:r>
          </w:p>
        </w:tc>
        <w:tc>
          <w:tcPr>
            <w:tcW w:w="1028" w:type="pct"/>
            <w:tcBorders>
              <w:top w:val="single" w:sz="4" w:space="0" w:color="auto"/>
            </w:tcBorders>
            <w:shd w:val="clear" w:color="auto" w:fill="auto"/>
            <w:vAlign w:val="center"/>
            <w:hideMark/>
          </w:tcPr>
          <w:p w14:paraId="45A0B0DF"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0.23186</w:t>
            </w:r>
          </w:p>
        </w:tc>
      </w:tr>
      <w:tr w:rsidR="005B605A" w:rsidRPr="00474548" w14:paraId="52D58ECA" w14:textId="77777777" w:rsidTr="00AB10E8">
        <w:trPr>
          <w:trHeight w:val="267"/>
        </w:trPr>
        <w:tc>
          <w:tcPr>
            <w:tcW w:w="850" w:type="pct"/>
            <w:shd w:val="clear" w:color="auto" w:fill="auto"/>
            <w:vAlign w:val="center"/>
            <w:hideMark/>
          </w:tcPr>
          <w:p w14:paraId="742BD803"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RIBOVCORR</w:t>
            </w:r>
          </w:p>
        </w:tc>
        <w:tc>
          <w:tcPr>
            <w:tcW w:w="848" w:type="pct"/>
            <w:shd w:val="clear" w:color="auto" w:fill="auto"/>
            <w:vAlign w:val="center"/>
            <w:hideMark/>
          </w:tcPr>
          <w:p w14:paraId="510AF39C"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0.703932</w:t>
            </w:r>
          </w:p>
        </w:tc>
        <w:tc>
          <w:tcPr>
            <w:tcW w:w="758" w:type="pct"/>
            <w:shd w:val="clear" w:color="auto" w:fill="auto"/>
            <w:vAlign w:val="center"/>
            <w:hideMark/>
          </w:tcPr>
          <w:p w14:paraId="2C307FB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0.00813185</w:t>
            </w:r>
          </w:p>
        </w:tc>
        <w:tc>
          <w:tcPr>
            <w:tcW w:w="892" w:type="pct"/>
            <w:shd w:val="clear" w:color="auto" w:fill="auto"/>
            <w:vAlign w:val="center"/>
            <w:hideMark/>
          </w:tcPr>
          <w:p w14:paraId="5BA0535D"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0.804</w:t>
            </w:r>
          </w:p>
        </w:tc>
        <w:tc>
          <w:tcPr>
            <w:tcW w:w="625" w:type="pct"/>
            <w:shd w:val="clear" w:color="auto" w:fill="auto"/>
            <w:vAlign w:val="center"/>
          </w:tcPr>
          <w:p w14:paraId="30AB065B"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86.5647</w:t>
            </w:r>
          </w:p>
        </w:tc>
        <w:tc>
          <w:tcPr>
            <w:tcW w:w="1028" w:type="pct"/>
            <w:shd w:val="clear" w:color="auto" w:fill="auto"/>
            <w:vAlign w:val="center"/>
            <w:hideMark/>
          </w:tcPr>
          <w:p w14:paraId="2C1F964B" w14:textId="1298D46F"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&lt;0</w:t>
            </w:r>
            <w:r w:rsidR="00BB60E3" w:rsidRPr="00474548">
              <w:rPr>
                <w:color w:val="000000"/>
                <w:sz w:val="20"/>
                <w:szCs w:val="20"/>
                <w:lang w:val="en-US"/>
              </w:rPr>
              <w:t>.</w:t>
            </w:r>
            <w:r w:rsidRPr="00474548">
              <w:rPr>
                <w:color w:val="000000"/>
                <w:sz w:val="20"/>
                <w:szCs w:val="20"/>
                <w:lang w:val="en-US"/>
              </w:rPr>
              <w:t>00001</w:t>
            </w:r>
          </w:p>
        </w:tc>
      </w:tr>
      <w:tr w:rsidR="005B605A" w:rsidRPr="00474548" w14:paraId="7E5274AB" w14:textId="77777777" w:rsidTr="00AB10E8">
        <w:trPr>
          <w:trHeight w:val="144"/>
        </w:trPr>
        <w:tc>
          <w:tcPr>
            <w:tcW w:w="850" w:type="pct"/>
            <w:tcBorders>
              <w:bottom w:val="single" w:sz="4" w:space="0" w:color="auto"/>
            </w:tcBorders>
            <w:shd w:val="clear" w:color="auto" w:fill="auto"/>
            <w:noWrap/>
            <w:vAlign w:val="center"/>
            <w:hideMark/>
          </w:tcPr>
          <w:p w14:paraId="65D3C987"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DM_Lei_Tipo2</w:t>
            </w:r>
          </w:p>
        </w:tc>
        <w:tc>
          <w:tcPr>
            <w:tcW w:w="848" w:type="pct"/>
            <w:tcBorders>
              <w:bottom w:val="single" w:sz="4" w:space="0" w:color="auto"/>
            </w:tcBorders>
            <w:shd w:val="clear" w:color="auto" w:fill="auto"/>
            <w:noWrap/>
            <w:vAlign w:val="bottom"/>
            <w:hideMark/>
          </w:tcPr>
          <w:p w14:paraId="08E71A56"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0.055145</w:t>
            </w:r>
          </w:p>
        </w:tc>
        <w:tc>
          <w:tcPr>
            <w:tcW w:w="758" w:type="pct"/>
            <w:tcBorders>
              <w:bottom w:val="single" w:sz="4" w:space="0" w:color="auto"/>
            </w:tcBorders>
            <w:shd w:val="clear" w:color="auto" w:fill="auto"/>
            <w:noWrap/>
            <w:vAlign w:val="bottom"/>
            <w:hideMark/>
          </w:tcPr>
          <w:p w14:paraId="24EA0400"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0.0251775</w:t>
            </w:r>
          </w:p>
        </w:tc>
        <w:tc>
          <w:tcPr>
            <w:tcW w:w="892" w:type="pct"/>
            <w:tcBorders>
              <w:bottom w:val="single" w:sz="4" w:space="0" w:color="auto"/>
            </w:tcBorders>
            <w:shd w:val="clear" w:color="auto" w:fill="auto"/>
            <w:noWrap/>
            <w:vAlign w:val="bottom"/>
            <w:hideMark/>
          </w:tcPr>
          <w:p w14:paraId="40A834AA"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0.020</w:t>
            </w:r>
          </w:p>
        </w:tc>
        <w:tc>
          <w:tcPr>
            <w:tcW w:w="625" w:type="pct"/>
            <w:tcBorders>
              <w:bottom w:val="single" w:sz="4" w:space="0" w:color="auto"/>
            </w:tcBorders>
            <w:shd w:val="clear" w:color="auto" w:fill="auto"/>
            <w:vAlign w:val="bottom"/>
          </w:tcPr>
          <w:p w14:paraId="0FF92E3C"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2.1903</w:t>
            </w:r>
          </w:p>
        </w:tc>
        <w:tc>
          <w:tcPr>
            <w:tcW w:w="1028" w:type="pct"/>
            <w:tcBorders>
              <w:bottom w:val="single" w:sz="4" w:space="0" w:color="auto"/>
            </w:tcBorders>
            <w:shd w:val="clear" w:color="auto" w:fill="auto"/>
            <w:noWrap/>
            <w:vAlign w:val="bottom"/>
            <w:hideMark/>
          </w:tcPr>
          <w:p w14:paraId="656F6A6B"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0.02856</w:t>
            </w:r>
          </w:p>
        </w:tc>
      </w:tr>
      <w:tr w:rsidR="005B605A" w:rsidRPr="00474548" w14:paraId="5BF75CC5" w14:textId="77777777" w:rsidTr="00AB10E8">
        <w:trPr>
          <w:trHeight w:val="255"/>
        </w:trPr>
        <w:tc>
          <w:tcPr>
            <w:tcW w:w="1697" w:type="pct"/>
            <w:gridSpan w:val="2"/>
            <w:tcBorders>
              <w:top w:val="single" w:sz="4" w:space="0" w:color="auto"/>
              <w:left w:val="nil"/>
              <w:bottom w:val="nil"/>
              <w:right w:val="nil"/>
            </w:tcBorders>
            <w:shd w:val="clear" w:color="auto" w:fill="auto"/>
            <w:noWrap/>
            <w:vAlign w:val="center"/>
            <w:hideMark/>
          </w:tcPr>
          <w:p w14:paraId="3C52B03E"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RIEECOR</w:t>
            </w:r>
          </w:p>
        </w:tc>
        <w:tc>
          <w:tcPr>
            <w:tcW w:w="758" w:type="pct"/>
            <w:tcBorders>
              <w:top w:val="single" w:sz="4" w:space="0" w:color="auto"/>
              <w:left w:val="nil"/>
              <w:bottom w:val="nil"/>
              <w:right w:val="nil"/>
            </w:tcBorders>
            <w:shd w:val="clear" w:color="auto" w:fill="auto"/>
            <w:noWrap/>
            <w:vAlign w:val="bottom"/>
            <w:hideMark/>
          </w:tcPr>
          <w:p w14:paraId="4B40188F" w14:textId="77777777" w:rsidR="005B605A" w:rsidRPr="00474548" w:rsidRDefault="005B605A" w:rsidP="008E6F8E">
            <w:pPr>
              <w:rPr>
                <w:rFonts w:eastAsia="Times New Roman"/>
                <w:color w:val="000000"/>
                <w:sz w:val="20"/>
                <w:szCs w:val="20"/>
                <w:lang w:val="en-US"/>
              </w:rPr>
            </w:pPr>
          </w:p>
        </w:tc>
        <w:tc>
          <w:tcPr>
            <w:tcW w:w="2545" w:type="pct"/>
            <w:gridSpan w:val="3"/>
            <w:tcBorders>
              <w:top w:val="single" w:sz="4" w:space="0" w:color="auto"/>
              <w:left w:val="nil"/>
              <w:bottom w:val="nil"/>
              <w:right w:val="nil"/>
            </w:tcBorders>
            <w:shd w:val="clear" w:color="auto" w:fill="auto"/>
            <w:noWrap/>
            <w:vAlign w:val="center"/>
            <w:hideMark/>
          </w:tcPr>
          <w:p w14:paraId="74FAFE36" w14:textId="33EA6312"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Coeff</w:t>
            </w:r>
            <w:proofErr w:type="spellEnd"/>
            <w:r w:rsidRPr="00474548">
              <w:rPr>
                <w:color w:val="000000"/>
                <w:sz w:val="20"/>
                <w:szCs w:val="20"/>
                <w:lang w:val="en-US"/>
              </w:rPr>
              <w:t xml:space="preserve">. </w:t>
            </w:r>
            <w:proofErr w:type="gramStart"/>
            <w:r w:rsidRPr="00474548">
              <w:rPr>
                <w:color w:val="000000"/>
                <w:sz w:val="20"/>
                <w:szCs w:val="20"/>
                <w:lang w:val="en-US"/>
              </w:rPr>
              <w:t>of</w:t>
            </w:r>
            <w:proofErr w:type="gramEnd"/>
            <w:r w:rsidRPr="00474548">
              <w:rPr>
                <w:color w:val="000000"/>
                <w:sz w:val="20"/>
                <w:szCs w:val="20"/>
                <w:lang w:val="en-US"/>
              </w:rPr>
              <w:t xml:space="preserve"> 1st order autocorrelation = -0</w:t>
            </w:r>
            <w:r w:rsidR="00BB60E3" w:rsidRPr="00474548">
              <w:rPr>
                <w:color w:val="000000"/>
                <w:sz w:val="20"/>
                <w:szCs w:val="20"/>
                <w:lang w:val="en-US"/>
              </w:rPr>
              <w:t>.</w:t>
            </w:r>
            <w:r w:rsidRPr="00474548">
              <w:rPr>
                <w:color w:val="000000"/>
                <w:sz w:val="20"/>
                <w:szCs w:val="20"/>
                <w:lang w:val="en-US"/>
              </w:rPr>
              <w:t>0146</w:t>
            </w:r>
          </w:p>
        </w:tc>
      </w:tr>
      <w:tr w:rsidR="005B605A" w:rsidRPr="00474548" w14:paraId="4F7E27C1" w14:textId="77777777" w:rsidTr="00AB10E8">
        <w:trPr>
          <w:trHeight w:val="255"/>
        </w:trPr>
        <w:tc>
          <w:tcPr>
            <w:tcW w:w="2455" w:type="pct"/>
            <w:gridSpan w:val="3"/>
            <w:tcBorders>
              <w:top w:val="nil"/>
              <w:left w:val="nil"/>
              <w:bottom w:val="nil"/>
              <w:right w:val="nil"/>
            </w:tcBorders>
            <w:shd w:val="clear" w:color="auto" w:fill="auto"/>
            <w:noWrap/>
            <w:vAlign w:val="center"/>
            <w:hideMark/>
          </w:tcPr>
          <w:p w14:paraId="3BAED4D9" w14:textId="41E788B3"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average = 0</w:t>
            </w:r>
            <w:r w:rsidR="00BB60E3" w:rsidRPr="00474548">
              <w:rPr>
                <w:color w:val="000000"/>
                <w:sz w:val="20"/>
                <w:szCs w:val="20"/>
                <w:lang w:val="en-US"/>
              </w:rPr>
              <w:t>.</w:t>
            </w:r>
            <w:r w:rsidRPr="00474548">
              <w:rPr>
                <w:color w:val="000000"/>
                <w:sz w:val="20"/>
                <w:szCs w:val="20"/>
                <w:lang w:val="en-US"/>
              </w:rPr>
              <w:t>000644049</w:t>
            </w:r>
          </w:p>
        </w:tc>
        <w:tc>
          <w:tcPr>
            <w:tcW w:w="2545" w:type="pct"/>
            <w:gridSpan w:val="3"/>
            <w:tcBorders>
              <w:top w:val="nil"/>
              <w:left w:val="nil"/>
              <w:bottom w:val="nil"/>
              <w:right w:val="nil"/>
            </w:tcBorders>
            <w:shd w:val="clear" w:color="auto" w:fill="auto"/>
            <w:noWrap/>
            <w:vAlign w:val="center"/>
            <w:hideMark/>
          </w:tcPr>
          <w:p w14:paraId="3D285629" w14:textId="6A741FBB" w:rsidR="005B605A" w:rsidRPr="00474548" w:rsidRDefault="005B605A" w:rsidP="008E6F8E">
            <w:pPr>
              <w:rPr>
                <w:rFonts w:eastAsia="Times New Roman"/>
                <w:color w:val="000000"/>
                <w:sz w:val="20"/>
                <w:szCs w:val="20"/>
                <w:lang w:val="en-US"/>
              </w:rPr>
            </w:pPr>
            <w:r w:rsidRPr="00474548">
              <w:rPr>
                <w:color w:val="000000"/>
                <w:sz w:val="20"/>
                <w:szCs w:val="20"/>
                <w:lang w:val="en-US"/>
              </w:rPr>
              <w:t>Likelihood logarithm = 13622</w:t>
            </w:r>
            <w:r w:rsidR="00BB60E3" w:rsidRPr="00474548">
              <w:rPr>
                <w:color w:val="000000"/>
                <w:sz w:val="20"/>
                <w:szCs w:val="20"/>
                <w:lang w:val="en-US"/>
              </w:rPr>
              <w:t>.</w:t>
            </w:r>
            <w:r w:rsidRPr="00474548">
              <w:rPr>
                <w:color w:val="000000"/>
                <w:sz w:val="20"/>
                <w:szCs w:val="20"/>
                <w:lang w:val="en-US"/>
              </w:rPr>
              <w:t>5</w:t>
            </w:r>
          </w:p>
        </w:tc>
      </w:tr>
      <w:tr w:rsidR="005B605A" w:rsidRPr="00474548" w14:paraId="4693927F" w14:textId="77777777" w:rsidTr="00AB10E8">
        <w:trPr>
          <w:trHeight w:val="255"/>
        </w:trPr>
        <w:tc>
          <w:tcPr>
            <w:tcW w:w="2455" w:type="pct"/>
            <w:gridSpan w:val="3"/>
            <w:tcBorders>
              <w:top w:val="nil"/>
              <w:left w:val="nil"/>
              <w:bottom w:val="nil"/>
              <w:right w:val="nil"/>
            </w:tcBorders>
            <w:shd w:val="clear" w:color="auto" w:fill="auto"/>
            <w:noWrap/>
            <w:vAlign w:val="center"/>
            <w:hideMark/>
          </w:tcPr>
          <w:p w14:paraId="35C7EE2E" w14:textId="03F22792"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standard deviation = 0</w:t>
            </w:r>
            <w:r w:rsidR="00BB60E3" w:rsidRPr="00474548">
              <w:rPr>
                <w:color w:val="000000"/>
                <w:sz w:val="20"/>
                <w:szCs w:val="20"/>
                <w:lang w:val="en-US"/>
              </w:rPr>
              <w:t>.</w:t>
            </w:r>
            <w:r w:rsidRPr="00474548">
              <w:rPr>
                <w:color w:val="000000"/>
                <w:sz w:val="20"/>
                <w:szCs w:val="20"/>
                <w:lang w:val="en-US"/>
              </w:rPr>
              <w:t>0193657</w:t>
            </w:r>
          </w:p>
        </w:tc>
        <w:tc>
          <w:tcPr>
            <w:tcW w:w="2545" w:type="pct"/>
            <w:gridSpan w:val="3"/>
            <w:tcBorders>
              <w:top w:val="nil"/>
              <w:left w:val="nil"/>
              <w:bottom w:val="nil"/>
              <w:right w:val="nil"/>
            </w:tcBorders>
            <w:shd w:val="clear" w:color="auto" w:fill="auto"/>
            <w:noWrap/>
            <w:vAlign w:val="center"/>
            <w:hideMark/>
          </w:tcPr>
          <w:p w14:paraId="52093719" w14:textId="77777777"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Akaike</w:t>
            </w:r>
            <w:proofErr w:type="spellEnd"/>
            <w:r w:rsidRPr="00474548">
              <w:rPr>
                <w:color w:val="000000"/>
                <w:sz w:val="20"/>
                <w:szCs w:val="20"/>
                <w:lang w:val="en-US"/>
              </w:rPr>
              <w:t xml:space="preserve"> information criterion = -27239</w:t>
            </w:r>
          </w:p>
        </w:tc>
      </w:tr>
      <w:tr w:rsidR="005B605A" w:rsidRPr="00474548" w14:paraId="3F798B5B" w14:textId="77777777" w:rsidTr="00AB10E8">
        <w:trPr>
          <w:trHeight w:val="255"/>
        </w:trPr>
        <w:tc>
          <w:tcPr>
            <w:tcW w:w="2455" w:type="pct"/>
            <w:gridSpan w:val="3"/>
            <w:tcBorders>
              <w:top w:val="nil"/>
              <w:left w:val="nil"/>
              <w:bottom w:val="nil"/>
              <w:right w:val="nil"/>
            </w:tcBorders>
            <w:shd w:val="clear" w:color="auto" w:fill="auto"/>
            <w:noWrap/>
            <w:vAlign w:val="center"/>
            <w:hideMark/>
          </w:tcPr>
          <w:p w14:paraId="2667F8DE" w14:textId="7BE4CF52" w:rsidR="005B605A" w:rsidRPr="00474548" w:rsidRDefault="005B605A" w:rsidP="008E6F8E">
            <w:pPr>
              <w:rPr>
                <w:rFonts w:eastAsia="Times New Roman"/>
                <w:color w:val="000000"/>
                <w:sz w:val="20"/>
                <w:szCs w:val="20"/>
                <w:lang w:val="en-US"/>
              </w:rPr>
            </w:pPr>
            <w:r w:rsidRPr="00474548">
              <w:rPr>
                <w:color w:val="000000"/>
                <w:sz w:val="20"/>
                <w:szCs w:val="20"/>
                <w:lang w:val="en-US"/>
              </w:rPr>
              <w:t>Sum of square residues = 0</w:t>
            </w:r>
            <w:r w:rsidR="00BB60E3" w:rsidRPr="00474548">
              <w:rPr>
                <w:color w:val="000000"/>
                <w:sz w:val="20"/>
                <w:szCs w:val="20"/>
                <w:lang w:val="en-US"/>
              </w:rPr>
              <w:t>.</w:t>
            </w:r>
            <w:r w:rsidRPr="00474548">
              <w:rPr>
                <w:color w:val="000000"/>
                <w:sz w:val="20"/>
                <w:szCs w:val="20"/>
                <w:lang w:val="en-US"/>
              </w:rPr>
              <w:t>573214</w:t>
            </w:r>
          </w:p>
        </w:tc>
        <w:tc>
          <w:tcPr>
            <w:tcW w:w="2545" w:type="pct"/>
            <w:gridSpan w:val="3"/>
            <w:tcBorders>
              <w:top w:val="nil"/>
              <w:left w:val="nil"/>
              <w:bottom w:val="nil"/>
              <w:right w:val="nil"/>
            </w:tcBorders>
            <w:shd w:val="clear" w:color="auto" w:fill="auto"/>
            <w:noWrap/>
            <w:vAlign w:val="center"/>
            <w:hideMark/>
          </w:tcPr>
          <w:p w14:paraId="7DC3113F" w14:textId="13F28157" w:rsidR="005B605A" w:rsidRPr="00474548" w:rsidRDefault="005B605A" w:rsidP="008E6F8E">
            <w:pPr>
              <w:rPr>
                <w:rFonts w:eastAsia="Times New Roman"/>
                <w:color w:val="000000"/>
                <w:sz w:val="20"/>
                <w:szCs w:val="20"/>
                <w:lang w:val="en-US"/>
              </w:rPr>
            </w:pPr>
            <w:r w:rsidRPr="00474548">
              <w:rPr>
                <w:color w:val="000000"/>
                <w:sz w:val="20"/>
                <w:szCs w:val="20"/>
                <w:lang w:val="en-US"/>
              </w:rPr>
              <w:t>Schwarz's Bayesian Criterion = -27219</w:t>
            </w:r>
            <w:r w:rsidR="00BB60E3" w:rsidRPr="00474548">
              <w:rPr>
                <w:color w:val="000000"/>
                <w:sz w:val="20"/>
                <w:szCs w:val="20"/>
                <w:lang w:val="en-US"/>
              </w:rPr>
              <w:t>.</w:t>
            </w:r>
            <w:r w:rsidRPr="00474548">
              <w:rPr>
                <w:color w:val="000000"/>
                <w:sz w:val="20"/>
                <w:szCs w:val="20"/>
                <w:lang w:val="en-US"/>
              </w:rPr>
              <w:t>8</w:t>
            </w:r>
          </w:p>
        </w:tc>
      </w:tr>
      <w:tr w:rsidR="005B605A" w:rsidRPr="00474548" w14:paraId="61D39E6D" w14:textId="77777777" w:rsidTr="00AB10E8">
        <w:trPr>
          <w:trHeight w:val="255"/>
        </w:trPr>
        <w:tc>
          <w:tcPr>
            <w:tcW w:w="1697" w:type="pct"/>
            <w:gridSpan w:val="2"/>
            <w:tcBorders>
              <w:top w:val="nil"/>
              <w:left w:val="nil"/>
              <w:bottom w:val="nil"/>
              <w:right w:val="nil"/>
            </w:tcBorders>
            <w:shd w:val="clear" w:color="auto" w:fill="auto"/>
            <w:noWrap/>
            <w:vAlign w:val="center"/>
            <w:hideMark/>
          </w:tcPr>
          <w:p w14:paraId="34E40A6F" w14:textId="5958A685" w:rsidR="005B605A" w:rsidRPr="00474548" w:rsidRDefault="005B605A" w:rsidP="008E6F8E">
            <w:pPr>
              <w:rPr>
                <w:rFonts w:eastAsia="Times New Roman"/>
                <w:color w:val="000000"/>
                <w:sz w:val="20"/>
                <w:szCs w:val="20"/>
                <w:lang w:val="en-US"/>
              </w:rPr>
            </w:pPr>
            <w:r w:rsidRPr="00474548">
              <w:rPr>
                <w:color w:val="000000"/>
                <w:sz w:val="20"/>
                <w:szCs w:val="20"/>
                <w:lang w:val="en-US"/>
              </w:rPr>
              <w:t>Standard error of residues = 0</w:t>
            </w:r>
            <w:r w:rsidR="00BB60E3" w:rsidRPr="00474548">
              <w:rPr>
                <w:color w:val="000000"/>
                <w:sz w:val="20"/>
                <w:szCs w:val="20"/>
                <w:lang w:val="en-US"/>
              </w:rPr>
              <w:t>.</w:t>
            </w:r>
            <w:r w:rsidRPr="00474548">
              <w:rPr>
                <w:color w:val="000000"/>
                <w:sz w:val="20"/>
                <w:szCs w:val="20"/>
                <w:lang w:val="en-US"/>
              </w:rPr>
              <w:t>01135</w:t>
            </w:r>
          </w:p>
        </w:tc>
        <w:tc>
          <w:tcPr>
            <w:tcW w:w="758" w:type="pct"/>
            <w:tcBorders>
              <w:top w:val="nil"/>
              <w:left w:val="nil"/>
              <w:bottom w:val="nil"/>
              <w:right w:val="nil"/>
            </w:tcBorders>
            <w:shd w:val="clear" w:color="auto" w:fill="auto"/>
            <w:noWrap/>
            <w:vAlign w:val="bottom"/>
            <w:hideMark/>
          </w:tcPr>
          <w:p w14:paraId="2B711F24" w14:textId="77777777" w:rsidR="005B605A" w:rsidRPr="00474548" w:rsidRDefault="005B605A" w:rsidP="008E6F8E">
            <w:pPr>
              <w:rPr>
                <w:rFonts w:eastAsia="Times New Roman"/>
                <w:color w:val="000000"/>
                <w:sz w:val="20"/>
                <w:szCs w:val="20"/>
                <w:lang w:val="en-US"/>
              </w:rPr>
            </w:pPr>
          </w:p>
        </w:tc>
        <w:tc>
          <w:tcPr>
            <w:tcW w:w="2545" w:type="pct"/>
            <w:gridSpan w:val="3"/>
            <w:tcBorders>
              <w:top w:val="nil"/>
              <w:left w:val="nil"/>
              <w:bottom w:val="nil"/>
              <w:right w:val="nil"/>
            </w:tcBorders>
            <w:shd w:val="clear" w:color="auto" w:fill="auto"/>
            <w:noWrap/>
            <w:vAlign w:val="center"/>
            <w:hideMark/>
          </w:tcPr>
          <w:p w14:paraId="2DC46140" w14:textId="38F913D5"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Hannan</w:t>
            </w:r>
            <w:proofErr w:type="spellEnd"/>
            <w:r w:rsidRPr="00474548">
              <w:rPr>
                <w:color w:val="000000"/>
                <w:sz w:val="20"/>
                <w:szCs w:val="20"/>
                <w:lang w:val="en-US"/>
              </w:rPr>
              <w:t>-Quinn Criterion = -27232</w:t>
            </w:r>
            <w:r w:rsidR="00BB60E3" w:rsidRPr="00474548">
              <w:rPr>
                <w:color w:val="000000"/>
                <w:sz w:val="20"/>
                <w:szCs w:val="20"/>
                <w:lang w:val="en-US"/>
              </w:rPr>
              <w:t>.</w:t>
            </w:r>
            <w:r w:rsidRPr="00474548">
              <w:rPr>
                <w:color w:val="000000"/>
                <w:sz w:val="20"/>
                <w:szCs w:val="20"/>
                <w:lang w:val="en-US"/>
              </w:rPr>
              <w:t>3</w:t>
            </w:r>
          </w:p>
        </w:tc>
      </w:tr>
      <w:tr w:rsidR="005B605A" w:rsidRPr="00474548" w14:paraId="3640DC5B" w14:textId="77777777" w:rsidTr="00AB10E8">
        <w:trPr>
          <w:trHeight w:val="285"/>
        </w:trPr>
        <w:tc>
          <w:tcPr>
            <w:tcW w:w="1697" w:type="pct"/>
            <w:gridSpan w:val="2"/>
            <w:tcBorders>
              <w:top w:val="nil"/>
              <w:left w:val="nil"/>
              <w:bottom w:val="nil"/>
              <w:right w:val="nil"/>
            </w:tcBorders>
            <w:shd w:val="clear" w:color="auto" w:fill="auto"/>
            <w:noWrap/>
            <w:vAlign w:val="center"/>
            <w:hideMark/>
          </w:tcPr>
          <w:p w14:paraId="0E71B50F" w14:textId="467AB236"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not adjusted = 0</w:t>
            </w:r>
            <w:r w:rsidR="00BB60E3" w:rsidRPr="00474548">
              <w:rPr>
                <w:color w:val="000000"/>
                <w:sz w:val="20"/>
                <w:szCs w:val="20"/>
                <w:lang w:val="en-US"/>
              </w:rPr>
              <w:t>.</w:t>
            </w:r>
            <w:r w:rsidRPr="00474548">
              <w:rPr>
                <w:color w:val="000000"/>
                <w:sz w:val="20"/>
                <w:szCs w:val="20"/>
                <w:lang w:val="en-US"/>
              </w:rPr>
              <w:t>656606</w:t>
            </w:r>
          </w:p>
        </w:tc>
        <w:tc>
          <w:tcPr>
            <w:tcW w:w="758" w:type="pct"/>
            <w:tcBorders>
              <w:top w:val="nil"/>
              <w:left w:val="nil"/>
              <w:bottom w:val="nil"/>
              <w:right w:val="nil"/>
            </w:tcBorders>
            <w:shd w:val="clear" w:color="auto" w:fill="auto"/>
            <w:noWrap/>
            <w:vAlign w:val="bottom"/>
            <w:hideMark/>
          </w:tcPr>
          <w:p w14:paraId="3B3BC4C9" w14:textId="77777777" w:rsidR="005B605A" w:rsidRPr="00474548" w:rsidRDefault="005B605A" w:rsidP="008E6F8E">
            <w:pPr>
              <w:rPr>
                <w:rFonts w:eastAsia="Times New Roman"/>
                <w:color w:val="000000"/>
                <w:sz w:val="20"/>
                <w:szCs w:val="20"/>
                <w:lang w:val="en-US"/>
              </w:rPr>
            </w:pPr>
          </w:p>
        </w:tc>
        <w:tc>
          <w:tcPr>
            <w:tcW w:w="2545" w:type="pct"/>
            <w:gridSpan w:val="3"/>
            <w:tcBorders>
              <w:top w:val="nil"/>
              <w:left w:val="nil"/>
              <w:bottom w:val="nil"/>
              <w:right w:val="nil"/>
            </w:tcBorders>
            <w:shd w:val="clear" w:color="auto" w:fill="auto"/>
            <w:noWrap/>
            <w:vAlign w:val="center"/>
            <w:hideMark/>
          </w:tcPr>
          <w:p w14:paraId="7EF91FAB"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LM test for autocorrelation up to order 5 -</w:t>
            </w:r>
          </w:p>
        </w:tc>
      </w:tr>
      <w:tr w:rsidR="005B605A" w:rsidRPr="00474548" w14:paraId="00D46D4C" w14:textId="77777777" w:rsidTr="00AB10E8">
        <w:trPr>
          <w:trHeight w:val="285"/>
        </w:trPr>
        <w:tc>
          <w:tcPr>
            <w:tcW w:w="1697" w:type="pct"/>
            <w:gridSpan w:val="2"/>
            <w:tcBorders>
              <w:top w:val="nil"/>
              <w:left w:val="nil"/>
              <w:bottom w:val="nil"/>
              <w:right w:val="nil"/>
            </w:tcBorders>
            <w:shd w:val="clear" w:color="auto" w:fill="auto"/>
            <w:noWrap/>
            <w:vAlign w:val="center"/>
            <w:hideMark/>
          </w:tcPr>
          <w:p w14:paraId="71526500" w14:textId="6C13A7AB"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adjusted = 0</w:t>
            </w:r>
            <w:r w:rsidR="00BB60E3" w:rsidRPr="00474548">
              <w:rPr>
                <w:color w:val="000000"/>
                <w:sz w:val="20"/>
                <w:szCs w:val="20"/>
                <w:lang w:val="en-US"/>
              </w:rPr>
              <w:t>.</w:t>
            </w:r>
            <w:r w:rsidRPr="00474548">
              <w:rPr>
                <w:color w:val="000000"/>
                <w:sz w:val="20"/>
                <w:szCs w:val="20"/>
                <w:lang w:val="en-US"/>
              </w:rPr>
              <w:t>656452</w:t>
            </w:r>
          </w:p>
        </w:tc>
        <w:tc>
          <w:tcPr>
            <w:tcW w:w="758" w:type="pct"/>
            <w:tcBorders>
              <w:top w:val="nil"/>
              <w:left w:val="nil"/>
              <w:bottom w:val="nil"/>
              <w:right w:val="nil"/>
            </w:tcBorders>
            <w:shd w:val="clear" w:color="auto" w:fill="auto"/>
            <w:noWrap/>
            <w:vAlign w:val="bottom"/>
            <w:hideMark/>
          </w:tcPr>
          <w:p w14:paraId="00F997F5" w14:textId="77777777" w:rsidR="005B605A" w:rsidRPr="00474548" w:rsidRDefault="005B605A" w:rsidP="008E6F8E">
            <w:pPr>
              <w:rPr>
                <w:rFonts w:eastAsia="Times New Roman"/>
                <w:color w:val="000000"/>
                <w:sz w:val="20"/>
                <w:szCs w:val="20"/>
                <w:lang w:val="en-US"/>
              </w:rPr>
            </w:pPr>
          </w:p>
        </w:tc>
        <w:tc>
          <w:tcPr>
            <w:tcW w:w="2545" w:type="pct"/>
            <w:gridSpan w:val="3"/>
            <w:tcBorders>
              <w:top w:val="nil"/>
              <w:left w:val="nil"/>
              <w:bottom w:val="nil"/>
              <w:right w:val="nil"/>
            </w:tcBorders>
            <w:shd w:val="clear" w:color="auto" w:fill="auto"/>
            <w:noWrap/>
            <w:vAlign w:val="center"/>
            <w:hideMark/>
          </w:tcPr>
          <w:p w14:paraId="0247354D"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Null hypotheses: without autocorrelation</w:t>
            </w:r>
          </w:p>
        </w:tc>
      </w:tr>
      <w:tr w:rsidR="005B605A" w:rsidRPr="00474548" w14:paraId="226923EC" w14:textId="77777777" w:rsidTr="00AB10E8">
        <w:trPr>
          <w:trHeight w:val="255"/>
        </w:trPr>
        <w:tc>
          <w:tcPr>
            <w:tcW w:w="2455" w:type="pct"/>
            <w:gridSpan w:val="3"/>
            <w:tcBorders>
              <w:top w:val="nil"/>
              <w:left w:val="nil"/>
              <w:bottom w:val="nil"/>
              <w:right w:val="nil"/>
            </w:tcBorders>
            <w:shd w:val="clear" w:color="auto" w:fill="auto"/>
            <w:noWrap/>
            <w:vAlign w:val="center"/>
            <w:hideMark/>
          </w:tcPr>
          <w:p w14:paraId="70719C90"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Statistics-F (2.4449) = 4253.48 (p-value &lt; 0.00001)</w:t>
            </w:r>
          </w:p>
        </w:tc>
        <w:tc>
          <w:tcPr>
            <w:tcW w:w="2545" w:type="pct"/>
            <w:gridSpan w:val="3"/>
            <w:tcBorders>
              <w:top w:val="nil"/>
              <w:left w:val="nil"/>
              <w:bottom w:val="nil"/>
              <w:right w:val="nil"/>
            </w:tcBorders>
            <w:shd w:val="clear" w:color="auto" w:fill="auto"/>
            <w:noWrap/>
            <w:vAlign w:val="center"/>
            <w:hideMark/>
          </w:tcPr>
          <w:p w14:paraId="5190285C" w14:textId="49143418"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Test statistics: LMF = 1</w:t>
            </w:r>
            <w:r w:rsidR="00BB60E3" w:rsidRPr="00474548">
              <w:rPr>
                <w:color w:val="000000"/>
                <w:sz w:val="20"/>
                <w:szCs w:val="20"/>
                <w:lang w:val="en-US"/>
              </w:rPr>
              <w:t>.</w:t>
            </w:r>
            <w:r w:rsidRPr="00474548">
              <w:rPr>
                <w:color w:val="000000"/>
                <w:sz w:val="20"/>
                <w:szCs w:val="20"/>
                <w:lang w:val="en-US"/>
              </w:rPr>
              <w:t>36336</w:t>
            </w:r>
          </w:p>
        </w:tc>
      </w:tr>
      <w:tr w:rsidR="005B605A" w:rsidRPr="00474548" w14:paraId="50E6233C" w14:textId="77777777" w:rsidTr="00AB10E8">
        <w:trPr>
          <w:trHeight w:val="255"/>
        </w:trPr>
        <w:tc>
          <w:tcPr>
            <w:tcW w:w="1697" w:type="pct"/>
            <w:gridSpan w:val="2"/>
            <w:tcBorders>
              <w:top w:val="nil"/>
              <w:left w:val="nil"/>
              <w:bottom w:val="single" w:sz="4" w:space="0" w:color="auto"/>
              <w:right w:val="nil"/>
            </w:tcBorders>
            <w:shd w:val="clear" w:color="auto" w:fill="auto"/>
            <w:noWrap/>
            <w:vAlign w:val="center"/>
            <w:hideMark/>
          </w:tcPr>
          <w:p w14:paraId="3693C7B0" w14:textId="271F68FE" w:rsidR="005B605A" w:rsidRPr="00474548" w:rsidRDefault="005B605A" w:rsidP="008E6F8E">
            <w:pPr>
              <w:rPr>
                <w:rFonts w:eastAsia="Times New Roman"/>
                <w:color w:val="000000"/>
                <w:sz w:val="20"/>
                <w:szCs w:val="20"/>
                <w:lang w:val="en-US"/>
              </w:rPr>
            </w:pPr>
            <w:r w:rsidRPr="00474548">
              <w:rPr>
                <w:color w:val="000000"/>
                <w:sz w:val="20"/>
                <w:szCs w:val="20"/>
                <w:lang w:val="en-US"/>
              </w:rPr>
              <w:t>Durbin-Watson Statistics = 2</w:t>
            </w:r>
            <w:r w:rsidR="00BB60E3" w:rsidRPr="00474548">
              <w:rPr>
                <w:color w:val="000000"/>
                <w:sz w:val="20"/>
                <w:szCs w:val="20"/>
                <w:lang w:val="en-US"/>
              </w:rPr>
              <w:t>.</w:t>
            </w:r>
            <w:r w:rsidRPr="00474548">
              <w:rPr>
                <w:color w:val="000000"/>
                <w:sz w:val="20"/>
                <w:szCs w:val="20"/>
                <w:lang w:val="en-US"/>
              </w:rPr>
              <w:t>029</w:t>
            </w:r>
          </w:p>
        </w:tc>
        <w:tc>
          <w:tcPr>
            <w:tcW w:w="758" w:type="pct"/>
            <w:tcBorders>
              <w:top w:val="nil"/>
              <w:left w:val="nil"/>
              <w:bottom w:val="single" w:sz="4" w:space="0" w:color="auto"/>
              <w:right w:val="nil"/>
            </w:tcBorders>
            <w:shd w:val="clear" w:color="auto" w:fill="auto"/>
            <w:noWrap/>
            <w:vAlign w:val="bottom"/>
            <w:hideMark/>
          </w:tcPr>
          <w:p w14:paraId="5E607231"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 </w:t>
            </w:r>
          </w:p>
        </w:tc>
        <w:tc>
          <w:tcPr>
            <w:tcW w:w="2545" w:type="pct"/>
            <w:gridSpan w:val="3"/>
            <w:tcBorders>
              <w:top w:val="nil"/>
              <w:left w:val="nil"/>
              <w:bottom w:val="single" w:sz="4" w:space="0" w:color="auto"/>
              <w:right w:val="nil"/>
            </w:tcBorders>
            <w:shd w:val="clear" w:color="auto" w:fill="auto"/>
            <w:noWrap/>
            <w:vAlign w:val="center"/>
            <w:hideMark/>
          </w:tcPr>
          <w:p w14:paraId="3509B80A" w14:textId="4C9BB659"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w:t>
            </w:r>
            <w:proofErr w:type="gramStart"/>
            <w:r w:rsidRPr="00474548">
              <w:rPr>
                <w:color w:val="000000"/>
                <w:sz w:val="20"/>
                <w:szCs w:val="20"/>
                <w:lang w:val="en-US"/>
              </w:rPr>
              <w:t>with</w:t>
            </w:r>
            <w:proofErr w:type="gramEnd"/>
            <w:r w:rsidRPr="00474548">
              <w:rPr>
                <w:color w:val="000000"/>
                <w:sz w:val="20"/>
                <w:szCs w:val="20"/>
                <w:lang w:val="en-US"/>
              </w:rPr>
              <w:t xml:space="preserve"> p-value = P(F(5</w:t>
            </w:r>
            <w:r w:rsidR="00BB60E3" w:rsidRPr="00474548">
              <w:rPr>
                <w:color w:val="000000"/>
                <w:sz w:val="20"/>
                <w:szCs w:val="20"/>
                <w:lang w:val="en-US"/>
              </w:rPr>
              <w:t>.</w:t>
            </w:r>
            <w:r w:rsidRPr="00474548">
              <w:rPr>
                <w:color w:val="000000"/>
                <w:sz w:val="20"/>
                <w:szCs w:val="20"/>
                <w:lang w:val="en-US"/>
              </w:rPr>
              <w:t>4439) &gt; 1</w:t>
            </w:r>
            <w:r w:rsidR="00BB60E3" w:rsidRPr="00474548">
              <w:rPr>
                <w:color w:val="000000"/>
                <w:sz w:val="20"/>
                <w:szCs w:val="20"/>
                <w:lang w:val="en-US"/>
              </w:rPr>
              <w:t>.</w:t>
            </w:r>
            <w:r w:rsidRPr="00474548">
              <w:rPr>
                <w:color w:val="000000"/>
                <w:sz w:val="20"/>
                <w:szCs w:val="20"/>
                <w:lang w:val="en-US"/>
              </w:rPr>
              <w:t>36336) = 0</w:t>
            </w:r>
            <w:r w:rsidR="00BB60E3" w:rsidRPr="00474548">
              <w:rPr>
                <w:color w:val="000000"/>
                <w:sz w:val="20"/>
                <w:szCs w:val="20"/>
                <w:lang w:val="en-US"/>
              </w:rPr>
              <w:t>.</w:t>
            </w:r>
            <w:r w:rsidRPr="00474548">
              <w:rPr>
                <w:color w:val="000000"/>
                <w:sz w:val="20"/>
                <w:szCs w:val="20"/>
                <w:lang w:val="en-US"/>
              </w:rPr>
              <w:t>23485</w:t>
            </w:r>
          </w:p>
        </w:tc>
      </w:tr>
    </w:tbl>
    <w:p w14:paraId="3B1C22A7" w14:textId="77777777" w:rsidR="005B605A" w:rsidRPr="00474548" w:rsidRDefault="005B605A" w:rsidP="008E6F8E">
      <w:pPr>
        <w:autoSpaceDE w:val="0"/>
        <w:autoSpaceDN w:val="0"/>
        <w:adjustRightInd w:val="0"/>
        <w:jc w:val="both"/>
        <w:rPr>
          <w:sz w:val="22"/>
          <w:szCs w:val="22"/>
          <w:lang w:val="en-US"/>
        </w:rPr>
      </w:pPr>
    </w:p>
    <w:p w14:paraId="226A8960" w14:textId="77777777" w:rsidR="005B605A" w:rsidRPr="00474548" w:rsidRDefault="005B605A" w:rsidP="008E6F8E">
      <w:pPr>
        <w:pStyle w:val="ListParagraph"/>
        <w:autoSpaceDE w:val="0"/>
        <w:autoSpaceDN w:val="0"/>
        <w:adjustRightInd w:val="0"/>
        <w:jc w:val="both"/>
        <w:rPr>
          <w:sz w:val="22"/>
          <w:szCs w:val="22"/>
          <w:lang w:val="en-US"/>
        </w:rPr>
      </w:pPr>
    </w:p>
    <w:p w14:paraId="72FEA842" w14:textId="55DA645C" w:rsidR="003F3BAC" w:rsidRPr="00474548" w:rsidRDefault="005B605A" w:rsidP="008E6F8E">
      <w:pPr>
        <w:pStyle w:val="Subtitle"/>
        <w:rPr>
          <w:rFonts w:ascii="Times New Roman" w:hAnsi="Times New Roman"/>
          <w:sz w:val="22"/>
          <w:szCs w:val="22"/>
          <w:lang w:val="en-US"/>
        </w:rPr>
      </w:pPr>
      <w:bookmarkStart w:id="29" w:name="_Toc391473729"/>
      <w:r w:rsidRPr="00474548">
        <w:rPr>
          <w:rFonts w:ascii="Times New Roman" w:hAnsi="Times New Roman"/>
          <w:sz w:val="22"/>
          <w:szCs w:val="22"/>
          <w:lang w:val="en-US"/>
        </w:rPr>
        <w:t xml:space="preserve">4.5.3 MP/Laws Type 3: Low Intensity </w:t>
      </w:r>
      <w:bookmarkEnd w:id="29"/>
    </w:p>
    <w:p w14:paraId="706202BA" w14:textId="3535B9F9" w:rsidR="009F49FD" w:rsidRPr="00474548" w:rsidRDefault="005B605A" w:rsidP="001809F1">
      <w:pPr>
        <w:pStyle w:val="ListParagraph"/>
        <w:autoSpaceDE w:val="0"/>
        <w:autoSpaceDN w:val="0"/>
        <w:adjustRightInd w:val="0"/>
        <w:ind w:left="0" w:firstLine="720"/>
        <w:jc w:val="both"/>
        <w:rPr>
          <w:sz w:val="22"/>
          <w:szCs w:val="22"/>
          <w:lang w:val="en-US"/>
        </w:rPr>
      </w:pPr>
      <w:r w:rsidRPr="00474548">
        <w:rPr>
          <w:sz w:val="22"/>
          <w:szCs w:val="22"/>
          <w:lang w:val="en-US"/>
        </w:rPr>
        <w:t xml:space="preserve">The results for </w:t>
      </w:r>
      <w:r w:rsidRPr="00474548">
        <w:rPr>
          <w:i/>
          <w:sz w:val="22"/>
          <w:szCs w:val="22"/>
          <w:lang w:val="en-US"/>
        </w:rPr>
        <w:t>dummy</w:t>
      </w:r>
      <w:r w:rsidRPr="00474548">
        <w:rPr>
          <w:sz w:val="22"/>
          <w:szCs w:val="22"/>
          <w:lang w:val="en-US"/>
        </w:rPr>
        <w:t xml:space="preserve"> variable, indicative of regulatory risk of MP/Laws Type 3 of </w:t>
      </w:r>
      <w:r w:rsidR="00CD3BA2" w:rsidRPr="00474548">
        <w:rPr>
          <w:sz w:val="22"/>
          <w:szCs w:val="22"/>
          <w:lang w:val="en-US"/>
        </w:rPr>
        <w:t>l</w:t>
      </w:r>
      <w:r w:rsidRPr="00474548">
        <w:rPr>
          <w:sz w:val="22"/>
          <w:szCs w:val="22"/>
          <w:lang w:val="en-US"/>
        </w:rPr>
        <w:t xml:space="preserve">ow </w:t>
      </w:r>
      <w:r w:rsidR="00CD3BA2" w:rsidRPr="00474548">
        <w:rPr>
          <w:sz w:val="22"/>
          <w:szCs w:val="22"/>
          <w:lang w:val="en-US"/>
        </w:rPr>
        <w:t>i</w:t>
      </w:r>
      <w:r w:rsidRPr="00474548">
        <w:rPr>
          <w:sz w:val="22"/>
          <w:szCs w:val="22"/>
          <w:lang w:val="en-US"/>
        </w:rPr>
        <w:t>ntensity</w:t>
      </w:r>
      <w:r w:rsidR="00CD3BA2" w:rsidRPr="00474548">
        <w:rPr>
          <w:sz w:val="22"/>
          <w:szCs w:val="22"/>
          <w:lang w:val="en-US"/>
        </w:rPr>
        <w:t>,</w:t>
      </w:r>
      <w:r w:rsidR="001809F1" w:rsidRPr="00474548">
        <w:rPr>
          <w:sz w:val="22"/>
          <w:szCs w:val="22"/>
          <w:lang w:val="en-US"/>
        </w:rPr>
        <w:t xml:space="preserve"> are shown in Table 10</w:t>
      </w:r>
      <w:r w:rsidRPr="00474548">
        <w:rPr>
          <w:sz w:val="22"/>
          <w:szCs w:val="22"/>
          <w:lang w:val="en-US"/>
        </w:rPr>
        <w:t>.</w:t>
      </w:r>
    </w:p>
    <w:p w14:paraId="7B0F92E0" w14:textId="6FA22082" w:rsidR="009F49FD" w:rsidRPr="00474548" w:rsidRDefault="000F7154" w:rsidP="000F7154">
      <w:pPr>
        <w:pStyle w:val="ListParagraph"/>
        <w:autoSpaceDE w:val="0"/>
        <w:autoSpaceDN w:val="0"/>
        <w:adjustRightInd w:val="0"/>
        <w:ind w:left="0" w:firstLine="720"/>
        <w:jc w:val="both"/>
        <w:rPr>
          <w:sz w:val="22"/>
          <w:szCs w:val="22"/>
          <w:lang w:val="en-US"/>
        </w:rPr>
      </w:pPr>
      <w:r w:rsidRPr="00474548">
        <w:rPr>
          <w:sz w:val="22"/>
          <w:szCs w:val="22"/>
          <w:lang w:val="en-US"/>
        </w:rPr>
        <w:t xml:space="preserve">The indicative variable of the regulatory event MP/Laws Type 3, low intensity, represented by Law 9,648 of 05/27/1998 does not show statistical significance. One can conjecture that for the MP/Laws events, the RC intensity is relevant and has a different impact on the stock risks. Therefore, it should be considered when drafting and formulating public policies. </w:t>
      </w:r>
    </w:p>
    <w:p w14:paraId="39C60553" w14:textId="77777777" w:rsidR="000F7154" w:rsidRPr="00474548" w:rsidRDefault="000F7154" w:rsidP="000F7154">
      <w:pPr>
        <w:pStyle w:val="ListParagraph"/>
        <w:autoSpaceDE w:val="0"/>
        <w:autoSpaceDN w:val="0"/>
        <w:adjustRightInd w:val="0"/>
        <w:ind w:left="0" w:firstLine="720"/>
        <w:jc w:val="both"/>
        <w:rPr>
          <w:sz w:val="22"/>
          <w:szCs w:val="22"/>
          <w:lang w:val="en-US"/>
        </w:rPr>
      </w:pPr>
    </w:p>
    <w:p w14:paraId="2EAADCCE" w14:textId="77777777" w:rsidR="006E641C" w:rsidRDefault="006E641C" w:rsidP="008E6F8E">
      <w:pPr>
        <w:pStyle w:val="Caption"/>
        <w:spacing w:after="0"/>
        <w:rPr>
          <w:b w:val="0"/>
          <w:color w:val="auto"/>
          <w:sz w:val="22"/>
          <w:szCs w:val="22"/>
          <w:lang w:val="en-US"/>
        </w:rPr>
      </w:pPr>
      <w:bookmarkStart w:id="30" w:name="_Toc391499591"/>
    </w:p>
    <w:p w14:paraId="7F69061A" w14:textId="375D17C7" w:rsidR="005B605A" w:rsidRPr="00474548" w:rsidRDefault="009F49FD" w:rsidP="008E6F8E">
      <w:pPr>
        <w:pStyle w:val="Caption"/>
        <w:spacing w:after="0"/>
        <w:rPr>
          <w:b w:val="0"/>
          <w:color w:val="auto"/>
          <w:sz w:val="22"/>
          <w:szCs w:val="22"/>
          <w:lang w:val="en-US"/>
        </w:rPr>
      </w:pPr>
      <w:r w:rsidRPr="00474548">
        <w:rPr>
          <w:b w:val="0"/>
          <w:color w:val="auto"/>
          <w:sz w:val="22"/>
          <w:szCs w:val="22"/>
          <w:lang w:val="en-US"/>
        </w:rPr>
        <w:lastRenderedPageBreak/>
        <w:t>Table 10</w:t>
      </w:r>
      <w:r w:rsidR="005B605A" w:rsidRPr="00474548">
        <w:rPr>
          <w:b w:val="0"/>
          <w:color w:val="auto"/>
          <w:sz w:val="22"/>
          <w:szCs w:val="22"/>
          <w:lang w:val="en-US"/>
        </w:rPr>
        <w:t xml:space="preserve"> - Results of MP/</w:t>
      </w:r>
      <w:r w:rsidR="00CD3BA2" w:rsidRPr="00474548">
        <w:rPr>
          <w:b w:val="0"/>
          <w:color w:val="auto"/>
          <w:sz w:val="22"/>
          <w:szCs w:val="22"/>
          <w:lang w:val="en-US"/>
        </w:rPr>
        <w:t xml:space="preserve">Laws </w:t>
      </w:r>
      <w:r w:rsidR="005B605A" w:rsidRPr="00474548">
        <w:rPr>
          <w:b w:val="0"/>
          <w:color w:val="auto"/>
          <w:sz w:val="22"/>
          <w:szCs w:val="22"/>
          <w:lang w:val="en-US"/>
        </w:rPr>
        <w:t>Type 3 events</w:t>
      </w:r>
      <w:bookmarkEnd w:id="30"/>
    </w:p>
    <w:tbl>
      <w:tblPr>
        <w:tblW w:w="5000" w:type="pct"/>
        <w:tblCellMar>
          <w:left w:w="70" w:type="dxa"/>
          <w:right w:w="70" w:type="dxa"/>
        </w:tblCellMar>
        <w:tblLook w:val="04A0" w:firstRow="1" w:lastRow="0" w:firstColumn="1" w:lastColumn="0" w:noHBand="0" w:noVBand="1"/>
      </w:tblPr>
      <w:tblGrid>
        <w:gridCol w:w="1636"/>
        <w:gridCol w:w="1193"/>
        <w:gridCol w:w="1511"/>
        <w:gridCol w:w="1652"/>
        <w:gridCol w:w="1691"/>
        <w:gridCol w:w="1477"/>
      </w:tblGrid>
      <w:tr w:rsidR="005B605A" w:rsidRPr="00474548" w14:paraId="0BE9340E" w14:textId="77777777" w:rsidTr="00AB10E8">
        <w:trPr>
          <w:trHeight w:val="431"/>
        </w:trPr>
        <w:tc>
          <w:tcPr>
            <w:tcW w:w="893" w:type="pct"/>
            <w:tcBorders>
              <w:top w:val="single" w:sz="4" w:space="0" w:color="auto"/>
              <w:bottom w:val="single" w:sz="4" w:space="0" w:color="auto"/>
            </w:tcBorders>
            <w:shd w:val="clear" w:color="000000" w:fill="D9D9D9"/>
            <w:vAlign w:val="center"/>
            <w:hideMark/>
          </w:tcPr>
          <w:p w14:paraId="7B1C0ED9"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Variable</w:t>
            </w:r>
          </w:p>
        </w:tc>
        <w:tc>
          <w:tcPr>
            <w:tcW w:w="650" w:type="pct"/>
            <w:tcBorders>
              <w:top w:val="single" w:sz="4" w:space="0" w:color="auto"/>
              <w:bottom w:val="single" w:sz="4" w:space="0" w:color="auto"/>
            </w:tcBorders>
            <w:shd w:val="clear" w:color="000000" w:fill="D9D9D9"/>
            <w:vAlign w:val="center"/>
            <w:hideMark/>
          </w:tcPr>
          <w:p w14:paraId="7E72A153"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Coefficient</w:t>
            </w:r>
          </w:p>
        </w:tc>
        <w:tc>
          <w:tcPr>
            <w:tcW w:w="825" w:type="pct"/>
            <w:tcBorders>
              <w:top w:val="single" w:sz="4" w:space="0" w:color="auto"/>
              <w:bottom w:val="single" w:sz="4" w:space="0" w:color="auto"/>
            </w:tcBorders>
            <w:shd w:val="clear" w:color="000000" w:fill="D9D9D9"/>
            <w:vAlign w:val="center"/>
            <w:hideMark/>
          </w:tcPr>
          <w:p w14:paraId="0EA3EF28"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Standard Error</w:t>
            </w:r>
          </w:p>
        </w:tc>
        <w:tc>
          <w:tcPr>
            <w:tcW w:w="902" w:type="pct"/>
            <w:tcBorders>
              <w:top w:val="single" w:sz="4" w:space="0" w:color="auto"/>
              <w:bottom w:val="single" w:sz="4" w:space="0" w:color="auto"/>
            </w:tcBorders>
            <w:shd w:val="clear" w:color="000000" w:fill="D9D9D9"/>
            <w:vAlign w:val="center"/>
            <w:hideMark/>
          </w:tcPr>
          <w:p w14:paraId="421A8AB4" w14:textId="2B4A7D7A" w:rsidR="005B605A" w:rsidRPr="00474548" w:rsidRDefault="00A8308C" w:rsidP="008E6F8E">
            <w:pPr>
              <w:jc w:val="center"/>
              <w:rPr>
                <w:rFonts w:eastAsia="Times New Roman"/>
                <w:i/>
                <w:iCs/>
                <w:color w:val="000000"/>
                <w:sz w:val="20"/>
                <w:szCs w:val="20"/>
                <w:lang w:val="en-US"/>
              </w:rPr>
            </w:pPr>
            <w:r w:rsidRPr="00474548">
              <w:rPr>
                <w:color w:val="000000"/>
                <w:kern w:val="0"/>
                <w:sz w:val="20"/>
                <w:szCs w:val="20"/>
                <w:lang w:val="en-US"/>
              </w:rPr>
              <w:t>Standardized Beta</w:t>
            </w:r>
          </w:p>
        </w:tc>
        <w:tc>
          <w:tcPr>
            <w:tcW w:w="923" w:type="pct"/>
            <w:tcBorders>
              <w:top w:val="single" w:sz="4" w:space="0" w:color="auto"/>
              <w:bottom w:val="single" w:sz="4" w:space="0" w:color="auto"/>
            </w:tcBorders>
            <w:shd w:val="clear" w:color="000000" w:fill="D9D9D9"/>
            <w:vAlign w:val="center"/>
          </w:tcPr>
          <w:p w14:paraId="0F47E593" w14:textId="3A1938C9" w:rsidR="005B605A" w:rsidRPr="00474548" w:rsidRDefault="002D7695" w:rsidP="008E6F8E">
            <w:pPr>
              <w:jc w:val="center"/>
              <w:rPr>
                <w:rFonts w:eastAsia="Times New Roman"/>
                <w:i/>
                <w:iCs/>
                <w:color w:val="000000"/>
                <w:sz w:val="20"/>
                <w:szCs w:val="20"/>
                <w:lang w:val="en-US"/>
              </w:rPr>
            </w:pPr>
            <w:proofErr w:type="gramStart"/>
            <w:r w:rsidRPr="00474548">
              <w:rPr>
                <w:i/>
                <w:color w:val="000000"/>
                <w:sz w:val="20"/>
                <w:szCs w:val="20"/>
                <w:lang w:val="en-US"/>
              </w:rPr>
              <w:t>t</w:t>
            </w:r>
            <w:proofErr w:type="gramEnd"/>
            <w:r w:rsidRPr="00474548">
              <w:rPr>
                <w:i/>
                <w:color w:val="000000"/>
                <w:sz w:val="20"/>
                <w:szCs w:val="20"/>
                <w:lang w:val="en-US"/>
              </w:rPr>
              <w:t>-</w:t>
            </w:r>
            <w:r w:rsidR="005B605A" w:rsidRPr="00474548">
              <w:rPr>
                <w:i/>
                <w:color w:val="000000"/>
                <w:sz w:val="20"/>
                <w:szCs w:val="20"/>
                <w:lang w:val="en-US"/>
              </w:rPr>
              <w:t>statistics</w:t>
            </w:r>
          </w:p>
        </w:tc>
        <w:tc>
          <w:tcPr>
            <w:tcW w:w="807" w:type="pct"/>
            <w:tcBorders>
              <w:top w:val="single" w:sz="4" w:space="0" w:color="auto"/>
              <w:bottom w:val="single" w:sz="4" w:space="0" w:color="auto"/>
            </w:tcBorders>
            <w:shd w:val="clear" w:color="000000" w:fill="D9D9D9"/>
            <w:vAlign w:val="center"/>
            <w:hideMark/>
          </w:tcPr>
          <w:p w14:paraId="543EE522" w14:textId="77777777" w:rsidR="005B605A" w:rsidRPr="00474548" w:rsidRDefault="005B605A" w:rsidP="008E6F8E">
            <w:pPr>
              <w:jc w:val="center"/>
              <w:rPr>
                <w:rFonts w:eastAsia="Times New Roman"/>
                <w:i/>
                <w:iCs/>
                <w:color w:val="000000"/>
                <w:sz w:val="20"/>
                <w:szCs w:val="20"/>
                <w:lang w:val="en-US"/>
              </w:rPr>
            </w:pPr>
            <w:proofErr w:type="gramStart"/>
            <w:r w:rsidRPr="00474548">
              <w:rPr>
                <w:i/>
                <w:color w:val="000000"/>
                <w:sz w:val="20"/>
                <w:szCs w:val="20"/>
                <w:lang w:val="en-US"/>
              </w:rPr>
              <w:t>p</w:t>
            </w:r>
            <w:proofErr w:type="gramEnd"/>
            <w:r w:rsidRPr="00474548">
              <w:rPr>
                <w:i/>
                <w:color w:val="000000"/>
                <w:sz w:val="20"/>
                <w:szCs w:val="20"/>
                <w:lang w:val="en-US"/>
              </w:rPr>
              <w:t>-value</w:t>
            </w:r>
          </w:p>
        </w:tc>
      </w:tr>
      <w:tr w:rsidR="005B605A" w:rsidRPr="00474548" w14:paraId="337F7B54" w14:textId="77777777" w:rsidTr="00AB10E8">
        <w:trPr>
          <w:trHeight w:val="184"/>
        </w:trPr>
        <w:tc>
          <w:tcPr>
            <w:tcW w:w="893" w:type="pct"/>
            <w:tcBorders>
              <w:top w:val="single" w:sz="4" w:space="0" w:color="auto"/>
            </w:tcBorders>
            <w:shd w:val="clear" w:color="auto" w:fill="auto"/>
            <w:vAlign w:val="center"/>
            <w:hideMark/>
          </w:tcPr>
          <w:p w14:paraId="0C7EA361"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Const.</w:t>
            </w:r>
          </w:p>
        </w:tc>
        <w:tc>
          <w:tcPr>
            <w:tcW w:w="650" w:type="pct"/>
            <w:tcBorders>
              <w:top w:val="single" w:sz="4" w:space="0" w:color="auto"/>
            </w:tcBorders>
            <w:shd w:val="clear" w:color="auto" w:fill="auto"/>
            <w:vAlign w:val="center"/>
            <w:hideMark/>
          </w:tcPr>
          <w:p w14:paraId="714E6CBE"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0.00020338</w:t>
            </w:r>
          </w:p>
        </w:tc>
        <w:tc>
          <w:tcPr>
            <w:tcW w:w="825" w:type="pct"/>
            <w:tcBorders>
              <w:top w:val="single" w:sz="4" w:space="0" w:color="auto"/>
            </w:tcBorders>
            <w:shd w:val="clear" w:color="auto" w:fill="auto"/>
            <w:vAlign w:val="center"/>
            <w:hideMark/>
          </w:tcPr>
          <w:p w14:paraId="68AEB12D"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0.000170276</w:t>
            </w:r>
          </w:p>
        </w:tc>
        <w:tc>
          <w:tcPr>
            <w:tcW w:w="902" w:type="pct"/>
            <w:tcBorders>
              <w:top w:val="single" w:sz="4" w:space="0" w:color="auto"/>
            </w:tcBorders>
            <w:shd w:val="clear" w:color="auto" w:fill="auto"/>
            <w:vAlign w:val="center"/>
            <w:hideMark/>
          </w:tcPr>
          <w:p w14:paraId="10D00ACE" w14:textId="77777777" w:rsidR="005B605A" w:rsidRPr="00474548" w:rsidRDefault="005B605A" w:rsidP="008E6F8E">
            <w:pPr>
              <w:jc w:val="center"/>
              <w:rPr>
                <w:rFonts w:eastAsia="Times New Roman"/>
                <w:color w:val="000000"/>
                <w:sz w:val="20"/>
                <w:szCs w:val="20"/>
                <w:lang w:val="en-US"/>
              </w:rPr>
            </w:pPr>
          </w:p>
        </w:tc>
        <w:tc>
          <w:tcPr>
            <w:tcW w:w="923" w:type="pct"/>
            <w:tcBorders>
              <w:top w:val="single" w:sz="4" w:space="0" w:color="auto"/>
            </w:tcBorders>
            <w:shd w:val="clear" w:color="auto" w:fill="auto"/>
            <w:vAlign w:val="center"/>
          </w:tcPr>
          <w:p w14:paraId="183B3331"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1.1944</w:t>
            </w:r>
          </w:p>
        </w:tc>
        <w:tc>
          <w:tcPr>
            <w:tcW w:w="807" w:type="pct"/>
            <w:tcBorders>
              <w:top w:val="single" w:sz="4" w:space="0" w:color="auto"/>
            </w:tcBorders>
            <w:shd w:val="clear" w:color="auto" w:fill="auto"/>
            <w:vAlign w:val="center"/>
            <w:hideMark/>
          </w:tcPr>
          <w:p w14:paraId="322794AD"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0.23237</w:t>
            </w:r>
          </w:p>
        </w:tc>
      </w:tr>
      <w:tr w:rsidR="005B605A" w:rsidRPr="00474548" w14:paraId="5BA5649B" w14:textId="77777777" w:rsidTr="00AB10E8">
        <w:trPr>
          <w:trHeight w:val="239"/>
        </w:trPr>
        <w:tc>
          <w:tcPr>
            <w:tcW w:w="893" w:type="pct"/>
            <w:shd w:val="clear" w:color="auto" w:fill="auto"/>
            <w:vAlign w:val="center"/>
            <w:hideMark/>
          </w:tcPr>
          <w:p w14:paraId="3CAB0E1F"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RIBOVCORR</w:t>
            </w:r>
          </w:p>
        </w:tc>
        <w:tc>
          <w:tcPr>
            <w:tcW w:w="650" w:type="pct"/>
            <w:shd w:val="clear" w:color="auto" w:fill="auto"/>
            <w:vAlign w:val="center"/>
            <w:hideMark/>
          </w:tcPr>
          <w:p w14:paraId="0949957B"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0.709494</w:t>
            </w:r>
          </w:p>
        </w:tc>
        <w:tc>
          <w:tcPr>
            <w:tcW w:w="825" w:type="pct"/>
            <w:shd w:val="clear" w:color="auto" w:fill="auto"/>
            <w:vAlign w:val="center"/>
            <w:hideMark/>
          </w:tcPr>
          <w:p w14:paraId="66F83778"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0.00771584</w:t>
            </w:r>
          </w:p>
        </w:tc>
        <w:tc>
          <w:tcPr>
            <w:tcW w:w="902" w:type="pct"/>
            <w:shd w:val="clear" w:color="auto" w:fill="auto"/>
            <w:vAlign w:val="center"/>
            <w:hideMark/>
          </w:tcPr>
          <w:p w14:paraId="5B74E1BD"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0.810</w:t>
            </w:r>
          </w:p>
        </w:tc>
        <w:tc>
          <w:tcPr>
            <w:tcW w:w="923" w:type="pct"/>
            <w:shd w:val="clear" w:color="auto" w:fill="auto"/>
            <w:vAlign w:val="center"/>
          </w:tcPr>
          <w:p w14:paraId="2E050620"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91.953</w:t>
            </w:r>
          </w:p>
        </w:tc>
        <w:tc>
          <w:tcPr>
            <w:tcW w:w="807" w:type="pct"/>
            <w:shd w:val="clear" w:color="auto" w:fill="auto"/>
            <w:vAlign w:val="center"/>
            <w:hideMark/>
          </w:tcPr>
          <w:p w14:paraId="11C8B3C6" w14:textId="17A2E1A9"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&lt;0</w:t>
            </w:r>
            <w:r w:rsidR="00A8308C" w:rsidRPr="00474548">
              <w:rPr>
                <w:color w:val="000000"/>
                <w:sz w:val="20"/>
                <w:szCs w:val="20"/>
                <w:lang w:val="en-US"/>
              </w:rPr>
              <w:t>.</w:t>
            </w:r>
            <w:r w:rsidRPr="00474548">
              <w:rPr>
                <w:color w:val="000000"/>
                <w:sz w:val="20"/>
                <w:szCs w:val="20"/>
                <w:lang w:val="en-US"/>
              </w:rPr>
              <w:t>00001</w:t>
            </w:r>
          </w:p>
        </w:tc>
      </w:tr>
      <w:tr w:rsidR="005B605A" w:rsidRPr="00474548" w14:paraId="7713B828" w14:textId="77777777" w:rsidTr="00AB10E8">
        <w:trPr>
          <w:trHeight w:val="146"/>
        </w:trPr>
        <w:tc>
          <w:tcPr>
            <w:tcW w:w="893" w:type="pct"/>
            <w:tcBorders>
              <w:bottom w:val="single" w:sz="4" w:space="0" w:color="auto"/>
            </w:tcBorders>
            <w:shd w:val="clear" w:color="auto" w:fill="auto"/>
            <w:noWrap/>
            <w:vAlign w:val="center"/>
            <w:hideMark/>
          </w:tcPr>
          <w:p w14:paraId="7311788E"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DM_Lei_Tipo3</w:t>
            </w:r>
          </w:p>
        </w:tc>
        <w:tc>
          <w:tcPr>
            <w:tcW w:w="650" w:type="pct"/>
            <w:tcBorders>
              <w:bottom w:val="single" w:sz="4" w:space="0" w:color="auto"/>
            </w:tcBorders>
            <w:shd w:val="clear" w:color="auto" w:fill="auto"/>
            <w:noWrap/>
            <w:vAlign w:val="bottom"/>
            <w:hideMark/>
          </w:tcPr>
          <w:p w14:paraId="004ACF29"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0.0473964</w:t>
            </w:r>
          </w:p>
        </w:tc>
        <w:tc>
          <w:tcPr>
            <w:tcW w:w="825" w:type="pct"/>
            <w:tcBorders>
              <w:bottom w:val="single" w:sz="4" w:space="0" w:color="auto"/>
            </w:tcBorders>
            <w:shd w:val="clear" w:color="auto" w:fill="auto"/>
            <w:noWrap/>
            <w:vAlign w:val="bottom"/>
            <w:hideMark/>
          </w:tcPr>
          <w:p w14:paraId="50F9F6D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0.123076</w:t>
            </w:r>
          </w:p>
        </w:tc>
        <w:tc>
          <w:tcPr>
            <w:tcW w:w="902" w:type="pct"/>
            <w:tcBorders>
              <w:bottom w:val="single" w:sz="4" w:space="0" w:color="auto"/>
            </w:tcBorders>
            <w:shd w:val="clear" w:color="auto" w:fill="auto"/>
            <w:noWrap/>
            <w:vAlign w:val="bottom"/>
            <w:hideMark/>
          </w:tcPr>
          <w:p w14:paraId="207F709F"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0.003</w:t>
            </w:r>
          </w:p>
        </w:tc>
        <w:tc>
          <w:tcPr>
            <w:tcW w:w="923" w:type="pct"/>
            <w:tcBorders>
              <w:bottom w:val="single" w:sz="4" w:space="0" w:color="auto"/>
            </w:tcBorders>
            <w:shd w:val="clear" w:color="auto" w:fill="auto"/>
            <w:vAlign w:val="bottom"/>
          </w:tcPr>
          <w:p w14:paraId="541055CF"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0.3851</w:t>
            </w:r>
          </w:p>
        </w:tc>
        <w:tc>
          <w:tcPr>
            <w:tcW w:w="807" w:type="pct"/>
            <w:tcBorders>
              <w:bottom w:val="single" w:sz="4" w:space="0" w:color="auto"/>
            </w:tcBorders>
            <w:shd w:val="clear" w:color="auto" w:fill="auto"/>
            <w:noWrap/>
            <w:vAlign w:val="bottom"/>
            <w:hideMark/>
          </w:tcPr>
          <w:p w14:paraId="11B8BC12"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0.70018</w:t>
            </w:r>
          </w:p>
        </w:tc>
      </w:tr>
      <w:tr w:rsidR="005B605A" w:rsidRPr="00474548" w14:paraId="060D3C3A" w14:textId="77777777" w:rsidTr="00AB10E8">
        <w:trPr>
          <w:trHeight w:val="255"/>
        </w:trPr>
        <w:tc>
          <w:tcPr>
            <w:tcW w:w="1544" w:type="pct"/>
            <w:gridSpan w:val="2"/>
            <w:tcBorders>
              <w:top w:val="single" w:sz="4" w:space="0" w:color="auto"/>
              <w:left w:val="nil"/>
              <w:bottom w:val="nil"/>
              <w:right w:val="nil"/>
            </w:tcBorders>
            <w:shd w:val="clear" w:color="auto" w:fill="auto"/>
            <w:noWrap/>
            <w:vAlign w:val="center"/>
            <w:hideMark/>
          </w:tcPr>
          <w:p w14:paraId="4A8CCA85"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RIEECOR</w:t>
            </w:r>
          </w:p>
        </w:tc>
        <w:tc>
          <w:tcPr>
            <w:tcW w:w="825" w:type="pct"/>
            <w:tcBorders>
              <w:top w:val="single" w:sz="4" w:space="0" w:color="auto"/>
              <w:left w:val="nil"/>
              <w:bottom w:val="nil"/>
              <w:right w:val="nil"/>
            </w:tcBorders>
            <w:shd w:val="clear" w:color="auto" w:fill="auto"/>
            <w:noWrap/>
            <w:vAlign w:val="bottom"/>
            <w:hideMark/>
          </w:tcPr>
          <w:p w14:paraId="1642310D" w14:textId="77777777" w:rsidR="005B605A" w:rsidRPr="00474548" w:rsidRDefault="005B605A" w:rsidP="008E6F8E">
            <w:pPr>
              <w:rPr>
                <w:rFonts w:eastAsia="Times New Roman"/>
                <w:color w:val="000000"/>
                <w:sz w:val="20"/>
                <w:szCs w:val="20"/>
                <w:lang w:val="en-US"/>
              </w:rPr>
            </w:pPr>
          </w:p>
        </w:tc>
        <w:tc>
          <w:tcPr>
            <w:tcW w:w="2632" w:type="pct"/>
            <w:gridSpan w:val="3"/>
            <w:tcBorders>
              <w:top w:val="single" w:sz="4" w:space="0" w:color="auto"/>
              <w:left w:val="nil"/>
              <w:bottom w:val="nil"/>
              <w:right w:val="nil"/>
            </w:tcBorders>
            <w:shd w:val="clear" w:color="auto" w:fill="auto"/>
            <w:noWrap/>
            <w:vAlign w:val="center"/>
            <w:hideMark/>
          </w:tcPr>
          <w:p w14:paraId="0460864F" w14:textId="5FAD6EDC"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Coeff</w:t>
            </w:r>
            <w:proofErr w:type="spellEnd"/>
            <w:r w:rsidRPr="00474548">
              <w:rPr>
                <w:color w:val="000000"/>
                <w:sz w:val="20"/>
                <w:szCs w:val="20"/>
                <w:lang w:val="en-US"/>
              </w:rPr>
              <w:t xml:space="preserve">. </w:t>
            </w:r>
            <w:proofErr w:type="gramStart"/>
            <w:r w:rsidRPr="00474548">
              <w:rPr>
                <w:color w:val="000000"/>
                <w:sz w:val="20"/>
                <w:szCs w:val="20"/>
                <w:lang w:val="en-US"/>
              </w:rPr>
              <w:t>of</w:t>
            </w:r>
            <w:proofErr w:type="gramEnd"/>
            <w:r w:rsidRPr="00474548">
              <w:rPr>
                <w:color w:val="000000"/>
                <w:sz w:val="20"/>
                <w:szCs w:val="20"/>
                <w:lang w:val="en-US"/>
              </w:rPr>
              <w:t xml:space="preserve"> 1st order autocorrelation = -0</w:t>
            </w:r>
            <w:r w:rsidR="002D7695" w:rsidRPr="00474548">
              <w:rPr>
                <w:color w:val="000000"/>
                <w:sz w:val="20"/>
                <w:szCs w:val="20"/>
                <w:lang w:val="en-US"/>
              </w:rPr>
              <w:t>.</w:t>
            </w:r>
            <w:r w:rsidRPr="00474548">
              <w:rPr>
                <w:color w:val="000000"/>
                <w:sz w:val="20"/>
                <w:szCs w:val="20"/>
                <w:lang w:val="en-US"/>
              </w:rPr>
              <w:t>0140073</w:t>
            </w:r>
          </w:p>
        </w:tc>
      </w:tr>
      <w:tr w:rsidR="005B605A" w:rsidRPr="00474548" w14:paraId="6382676D" w14:textId="77777777" w:rsidTr="00AB10E8">
        <w:trPr>
          <w:trHeight w:val="255"/>
        </w:trPr>
        <w:tc>
          <w:tcPr>
            <w:tcW w:w="2368" w:type="pct"/>
            <w:gridSpan w:val="3"/>
            <w:tcBorders>
              <w:top w:val="nil"/>
              <w:left w:val="nil"/>
              <w:bottom w:val="nil"/>
              <w:right w:val="nil"/>
            </w:tcBorders>
            <w:shd w:val="clear" w:color="auto" w:fill="auto"/>
            <w:noWrap/>
            <w:vAlign w:val="center"/>
            <w:hideMark/>
          </w:tcPr>
          <w:p w14:paraId="44CC2109" w14:textId="3DACD044"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average = 0</w:t>
            </w:r>
            <w:r w:rsidR="00B37B95" w:rsidRPr="00474548">
              <w:rPr>
                <w:color w:val="000000"/>
                <w:sz w:val="20"/>
                <w:szCs w:val="20"/>
                <w:lang w:val="en-US"/>
              </w:rPr>
              <w:t>.</w:t>
            </w:r>
            <w:r w:rsidRPr="00474548">
              <w:rPr>
                <w:color w:val="000000"/>
                <w:sz w:val="20"/>
                <w:szCs w:val="20"/>
                <w:lang w:val="en-US"/>
              </w:rPr>
              <w:t>000644049</w:t>
            </w:r>
          </w:p>
        </w:tc>
        <w:tc>
          <w:tcPr>
            <w:tcW w:w="2632" w:type="pct"/>
            <w:gridSpan w:val="3"/>
            <w:tcBorders>
              <w:top w:val="nil"/>
              <w:left w:val="nil"/>
              <w:bottom w:val="nil"/>
              <w:right w:val="nil"/>
            </w:tcBorders>
            <w:shd w:val="clear" w:color="auto" w:fill="auto"/>
            <w:noWrap/>
            <w:vAlign w:val="center"/>
            <w:hideMark/>
          </w:tcPr>
          <w:p w14:paraId="661C374D" w14:textId="29BEA269" w:rsidR="005B605A" w:rsidRPr="00474548" w:rsidRDefault="005B605A" w:rsidP="008E6F8E">
            <w:pPr>
              <w:rPr>
                <w:rFonts w:eastAsia="Times New Roman"/>
                <w:color w:val="000000"/>
                <w:sz w:val="20"/>
                <w:szCs w:val="20"/>
                <w:lang w:val="en-US"/>
              </w:rPr>
            </w:pPr>
            <w:r w:rsidRPr="00474548">
              <w:rPr>
                <w:color w:val="000000"/>
                <w:sz w:val="20"/>
                <w:szCs w:val="20"/>
                <w:lang w:val="en-US"/>
              </w:rPr>
              <w:t>Likelihood logarithm = 13620</w:t>
            </w:r>
            <w:r w:rsidR="00B37B95" w:rsidRPr="00474548">
              <w:rPr>
                <w:color w:val="000000"/>
                <w:sz w:val="20"/>
                <w:szCs w:val="20"/>
                <w:lang w:val="en-US"/>
              </w:rPr>
              <w:t>.</w:t>
            </w:r>
            <w:r w:rsidRPr="00474548">
              <w:rPr>
                <w:color w:val="000000"/>
                <w:sz w:val="20"/>
                <w:szCs w:val="20"/>
                <w:lang w:val="en-US"/>
              </w:rPr>
              <w:t>2</w:t>
            </w:r>
          </w:p>
        </w:tc>
      </w:tr>
      <w:tr w:rsidR="005B605A" w:rsidRPr="00474548" w14:paraId="02839CFC" w14:textId="77777777" w:rsidTr="00AB10E8">
        <w:trPr>
          <w:trHeight w:val="255"/>
        </w:trPr>
        <w:tc>
          <w:tcPr>
            <w:tcW w:w="2368" w:type="pct"/>
            <w:gridSpan w:val="3"/>
            <w:tcBorders>
              <w:top w:val="nil"/>
              <w:left w:val="nil"/>
              <w:bottom w:val="nil"/>
              <w:right w:val="nil"/>
            </w:tcBorders>
            <w:shd w:val="clear" w:color="auto" w:fill="auto"/>
            <w:noWrap/>
            <w:vAlign w:val="center"/>
            <w:hideMark/>
          </w:tcPr>
          <w:p w14:paraId="1CC6B45D" w14:textId="11696A98"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standard deviation = 0</w:t>
            </w:r>
            <w:r w:rsidR="00B37B95" w:rsidRPr="00474548">
              <w:rPr>
                <w:color w:val="000000"/>
                <w:sz w:val="20"/>
                <w:szCs w:val="20"/>
                <w:lang w:val="en-US"/>
              </w:rPr>
              <w:t>.</w:t>
            </w:r>
            <w:r w:rsidRPr="00474548">
              <w:rPr>
                <w:color w:val="000000"/>
                <w:sz w:val="20"/>
                <w:szCs w:val="20"/>
                <w:lang w:val="en-US"/>
              </w:rPr>
              <w:t>0193657</w:t>
            </w:r>
          </w:p>
        </w:tc>
        <w:tc>
          <w:tcPr>
            <w:tcW w:w="2632" w:type="pct"/>
            <w:gridSpan w:val="3"/>
            <w:tcBorders>
              <w:top w:val="nil"/>
              <w:left w:val="nil"/>
              <w:bottom w:val="nil"/>
              <w:right w:val="nil"/>
            </w:tcBorders>
            <w:shd w:val="clear" w:color="auto" w:fill="auto"/>
            <w:noWrap/>
            <w:vAlign w:val="center"/>
            <w:hideMark/>
          </w:tcPr>
          <w:p w14:paraId="0E021F9E" w14:textId="142AF188"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Akaike</w:t>
            </w:r>
            <w:proofErr w:type="spellEnd"/>
            <w:r w:rsidRPr="00474548">
              <w:rPr>
                <w:color w:val="000000"/>
                <w:sz w:val="20"/>
                <w:szCs w:val="20"/>
                <w:lang w:val="en-US"/>
              </w:rPr>
              <w:t xml:space="preserve"> information criterion = -27234</w:t>
            </w:r>
            <w:r w:rsidR="00B37B95" w:rsidRPr="00474548">
              <w:rPr>
                <w:color w:val="000000"/>
                <w:sz w:val="20"/>
                <w:szCs w:val="20"/>
                <w:lang w:val="en-US"/>
              </w:rPr>
              <w:t>.</w:t>
            </w:r>
            <w:r w:rsidRPr="00474548">
              <w:rPr>
                <w:color w:val="000000"/>
                <w:sz w:val="20"/>
                <w:szCs w:val="20"/>
                <w:lang w:val="en-US"/>
              </w:rPr>
              <w:t>4</w:t>
            </w:r>
          </w:p>
        </w:tc>
      </w:tr>
      <w:tr w:rsidR="005B605A" w:rsidRPr="00474548" w14:paraId="1CF9B353" w14:textId="77777777" w:rsidTr="00AB10E8">
        <w:trPr>
          <w:trHeight w:val="255"/>
        </w:trPr>
        <w:tc>
          <w:tcPr>
            <w:tcW w:w="2368" w:type="pct"/>
            <w:gridSpan w:val="3"/>
            <w:tcBorders>
              <w:top w:val="nil"/>
              <w:left w:val="nil"/>
              <w:bottom w:val="nil"/>
              <w:right w:val="nil"/>
            </w:tcBorders>
            <w:shd w:val="clear" w:color="auto" w:fill="auto"/>
            <w:noWrap/>
            <w:vAlign w:val="center"/>
            <w:hideMark/>
          </w:tcPr>
          <w:p w14:paraId="0E2A25F3" w14:textId="4E80BD9B" w:rsidR="005B605A" w:rsidRPr="00474548" w:rsidRDefault="005B605A" w:rsidP="008E6F8E">
            <w:pPr>
              <w:rPr>
                <w:rFonts w:eastAsia="Times New Roman"/>
                <w:color w:val="000000"/>
                <w:sz w:val="20"/>
                <w:szCs w:val="20"/>
                <w:lang w:val="en-US"/>
              </w:rPr>
            </w:pPr>
            <w:r w:rsidRPr="00474548">
              <w:rPr>
                <w:color w:val="000000"/>
                <w:sz w:val="20"/>
                <w:szCs w:val="20"/>
                <w:lang w:val="en-US"/>
              </w:rPr>
              <w:t>Sum of square residues = 0</w:t>
            </w:r>
            <w:r w:rsidR="00B37B95" w:rsidRPr="00474548">
              <w:rPr>
                <w:color w:val="000000"/>
                <w:sz w:val="20"/>
                <w:szCs w:val="20"/>
                <w:lang w:val="en-US"/>
              </w:rPr>
              <w:t>.</w:t>
            </w:r>
            <w:r w:rsidRPr="00474548">
              <w:rPr>
                <w:color w:val="000000"/>
                <w:sz w:val="20"/>
                <w:szCs w:val="20"/>
                <w:lang w:val="en-US"/>
              </w:rPr>
              <w:t>573813</w:t>
            </w:r>
          </w:p>
        </w:tc>
        <w:tc>
          <w:tcPr>
            <w:tcW w:w="2632" w:type="pct"/>
            <w:gridSpan w:val="3"/>
            <w:tcBorders>
              <w:top w:val="nil"/>
              <w:left w:val="nil"/>
              <w:bottom w:val="nil"/>
              <w:right w:val="nil"/>
            </w:tcBorders>
            <w:shd w:val="clear" w:color="auto" w:fill="auto"/>
            <w:noWrap/>
            <w:vAlign w:val="center"/>
            <w:hideMark/>
          </w:tcPr>
          <w:p w14:paraId="01FE89D0" w14:textId="3BF6BCEC" w:rsidR="005B605A" w:rsidRPr="00474548" w:rsidRDefault="005B605A" w:rsidP="008E6F8E">
            <w:pPr>
              <w:rPr>
                <w:rFonts w:eastAsia="Times New Roman"/>
                <w:color w:val="000000"/>
                <w:sz w:val="20"/>
                <w:szCs w:val="20"/>
                <w:lang w:val="en-US"/>
              </w:rPr>
            </w:pPr>
            <w:r w:rsidRPr="00474548">
              <w:rPr>
                <w:color w:val="000000"/>
                <w:sz w:val="20"/>
                <w:szCs w:val="20"/>
                <w:lang w:val="en-US"/>
              </w:rPr>
              <w:t>Schwarz's Bayesian Criterion = -27215</w:t>
            </w:r>
            <w:r w:rsidR="00B37B95" w:rsidRPr="00474548">
              <w:rPr>
                <w:color w:val="000000"/>
                <w:sz w:val="20"/>
                <w:szCs w:val="20"/>
                <w:lang w:val="en-US"/>
              </w:rPr>
              <w:t>.</w:t>
            </w:r>
            <w:r w:rsidRPr="00474548">
              <w:rPr>
                <w:color w:val="000000"/>
                <w:sz w:val="20"/>
                <w:szCs w:val="20"/>
                <w:lang w:val="en-US"/>
              </w:rPr>
              <w:t>2</w:t>
            </w:r>
          </w:p>
        </w:tc>
      </w:tr>
      <w:tr w:rsidR="005B605A" w:rsidRPr="00474548" w14:paraId="3FB5A175" w14:textId="77777777" w:rsidTr="00AB10E8">
        <w:trPr>
          <w:trHeight w:val="255"/>
        </w:trPr>
        <w:tc>
          <w:tcPr>
            <w:tcW w:w="2368" w:type="pct"/>
            <w:gridSpan w:val="3"/>
            <w:tcBorders>
              <w:top w:val="nil"/>
              <w:left w:val="nil"/>
              <w:bottom w:val="nil"/>
              <w:right w:val="nil"/>
            </w:tcBorders>
            <w:shd w:val="clear" w:color="auto" w:fill="auto"/>
            <w:noWrap/>
            <w:vAlign w:val="center"/>
            <w:hideMark/>
          </w:tcPr>
          <w:p w14:paraId="32614AED" w14:textId="03BA8CDE" w:rsidR="005B605A" w:rsidRPr="00474548" w:rsidRDefault="005B605A" w:rsidP="008E6F8E">
            <w:pPr>
              <w:rPr>
                <w:rFonts w:eastAsia="Times New Roman"/>
                <w:color w:val="000000"/>
                <w:sz w:val="20"/>
                <w:szCs w:val="20"/>
                <w:lang w:val="en-US"/>
              </w:rPr>
            </w:pPr>
            <w:r w:rsidRPr="00474548">
              <w:rPr>
                <w:color w:val="000000"/>
                <w:sz w:val="20"/>
                <w:szCs w:val="20"/>
                <w:lang w:val="en-US"/>
              </w:rPr>
              <w:t>Standard error of residues = 0</w:t>
            </w:r>
            <w:r w:rsidR="00B37B95" w:rsidRPr="00474548">
              <w:rPr>
                <w:color w:val="000000"/>
                <w:sz w:val="20"/>
                <w:szCs w:val="20"/>
                <w:lang w:val="en-US"/>
              </w:rPr>
              <w:t>.</w:t>
            </w:r>
            <w:r w:rsidRPr="00474548">
              <w:rPr>
                <w:color w:val="000000"/>
                <w:sz w:val="20"/>
                <w:szCs w:val="20"/>
                <w:lang w:val="en-US"/>
              </w:rPr>
              <w:t>0113567</w:t>
            </w:r>
          </w:p>
        </w:tc>
        <w:tc>
          <w:tcPr>
            <w:tcW w:w="2632" w:type="pct"/>
            <w:gridSpan w:val="3"/>
            <w:tcBorders>
              <w:top w:val="nil"/>
              <w:left w:val="nil"/>
              <w:bottom w:val="nil"/>
              <w:right w:val="nil"/>
            </w:tcBorders>
            <w:shd w:val="clear" w:color="auto" w:fill="auto"/>
            <w:noWrap/>
            <w:vAlign w:val="center"/>
            <w:hideMark/>
          </w:tcPr>
          <w:p w14:paraId="5984336C" w14:textId="26BAE00A"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Hannan</w:t>
            </w:r>
            <w:proofErr w:type="spellEnd"/>
            <w:r w:rsidRPr="00474548">
              <w:rPr>
                <w:color w:val="000000"/>
                <w:sz w:val="20"/>
                <w:szCs w:val="20"/>
                <w:lang w:val="en-US"/>
              </w:rPr>
              <w:t>-Quinn Criterion = -27227</w:t>
            </w:r>
            <w:r w:rsidR="00B37B95" w:rsidRPr="00474548">
              <w:rPr>
                <w:color w:val="000000"/>
                <w:sz w:val="20"/>
                <w:szCs w:val="20"/>
                <w:lang w:val="en-US"/>
              </w:rPr>
              <w:t>.</w:t>
            </w:r>
            <w:r w:rsidRPr="00474548">
              <w:rPr>
                <w:color w:val="000000"/>
                <w:sz w:val="20"/>
                <w:szCs w:val="20"/>
                <w:lang w:val="en-US"/>
              </w:rPr>
              <w:t>6</w:t>
            </w:r>
          </w:p>
        </w:tc>
      </w:tr>
      <w:tr w:rsidR="005B605A" w:rsidRPr="00474548" w14:paraId="0629C0D2" w14:textId="77777777" w:rsidTr="00AB10E8">
        <w:trPr>
          <w:trHeight w:val="285"/>
        </w:trPr>
        <w:tc>
          <w:tcPr>
            <w:tcW w:w="1544" w:type="pct"/>
            <w:gridSpan w:val="2"/>
            <w:tcBorders>
              <w:top w:val="nil"/>
              <w:left w:val="nil"/>
              <w:bottom w:val="nil"/>
              <w:right w:val="nil"/>
            </w:tcBorders>
            <w:shd w:val="clear" w:color="auto" w:fill="auto"/>
            <w:noWrap/>
            <w:vAlign w:val="center"/>
            <w:hideMark/>
          </w:tcPr>
          <w:p w14:paraId="35FFDC92" w14:textId="6A31ACBB"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not adjusted = 0</w:t>
            </w:r>
            <w:r w:rsidR="00B37B95" w:rsidRPr="00474548">
              <w:rPr>
                <w:color w:val="000000"/>
                <w:sz w:val="20"/>
                <w:szCs w:val="20"/>
                <w:lang w:val="en-US"/>
              </w:rPr>
              <w:t>.</w:t>
            </w:r>
            <w:r w:rsidRPr="00474548">
              <w:rPr>
                <w:color w:val="000000"/>
                <w:sz w:val="20"/>
                <w:szCs w:val="20"/>
                <w:lang w:val="en-US"/>
              </w:rPr>
              <w:t>656247</w:t>
            </w:r>
          </w:p>
        </w:tc>
        <w:tc>
          <w:tcPr>
            <w:tcW w:w="825" w:type="pct"/>
            <w:tcBorders>
              <w:top w:val="nil"/>
              <w:left w:val="nil"/>
              <w:bottom w:val="nil"/>
              <w:right w:val="nil"/>
            </w:tcBorders>
            <w:shd w:val="clear" w:color="auto" w:fill="auto"/>
            <w:noWrap/>
            <w:vAlign w:val="bottom"/>
            <w:hideMark/>
          </w:tcPr>
          <w:p w14:paraId="33BDA96D" w14:textId="77777777" w:rsidR="005B605A" w:rsidRPr="00474548" w:rsidRDefault="005B605A" w:rsidP="008E6F8E">
            <w:pPr>
              <w:rPr>
                <w:rFonts w:eastAsia="Times New Roman"/>
                <w:color w:val="000000"/>
                <w:sz w:val="20"/>
                <w:szCs w:val="20"/>
                <w:lang w:val="en-US"/>
              </w:rPr>
            </w:pPr>
          </w:p>
        </w:tc>
        <w:tc>
          <w:tcPr>
            <w:tcW w:w="2632" w:type="pct"/>
            <w:gridSpan w:val="3"/>
            <w:tcBorders>
              <w:top w:val="nil"/>
              <w:left w:val="nil"/>
              <w:bottom w:val="nil"/>
              <w:right w:val="nil"/>
            </w:tcBorders>
            <w:shd w:val="clear" w:color="auto" w:fill="auto"/>
            <w:noWrap/>
            <w:vAlign w:val="center"/>
            <w:hideMark/>
          </w:tcPr>
          <w:p w14:paraId="0E199304"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LM test for autocorrelation up to order 5 -</w:t>
            </w:r>
          </w:p>
        </w:tc>
      </w:tr>
      <w:tr w:rsidR="005B605A" w:rsidRPr="00474548" w14:paraId="2895A979" w14:textId="77777777" w:rsidTr="00AB10E8">
        <w:trPr>
          <w:trHeight w:val="285"/>
        </w:trPr>
        <w:tc>
          <w:tcPr>
            <w:tcW w:w="1544" w:type="pct"/>
            <w:gridSpan w:val="2"/>
            <w:tcBorders>
              <w:top w:val="nil"/>
              <w:left w:val="nil"/>
              <w:bottom w:val="nil"/>
              <w:right w:val="nil"/>
            </w:tcBorders>
            <w:shd w:val="clear" w:color="auto" w:fill="auto"/>
            <w:noWrap/>
            <w:vAlign w:val="center"/>
            <w:hideMark/>
          </w:tcPr>
          <w:p w14:paraId="0AD6ECE4" w14:textId="0EBC7E9E"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adjusted = 0</w:t>
            </w:r>
            <w:r w:rsidR="00B37B95" w:rsidRPr="00474548">
              <w:rPr>
                <w:color w:val="000000"/>
                <w:sz w:val="20"/>
                <w:szCs w:val="20"/>
                <w:lang w:val="en-US"/>
              </w:rPr>
              <w:t>.</w:t>
            </w:r>
            <w:r w:rsidRPr="00474548">
              <w:rPr>
                <w:color w:val="000000"/>
                <w:sz w:val="20"/>
                <w:szCs w:val="20"/>
                <w:lang w:val="en-US"/>
              </w:rPr>
              <w:t>656093</w:t>
            </w:r>
          </w:p>
        </w:tc>
        <w:tc>
          <w:tcPr>
            <w:tcW w:w="825" w:type="pct"/>
            <w:tcBorders>
              <w:top w:val="nil"/>
              <w:left w:val="nil"/>
              <w:bottom w:val="nil"/>
              <w:right w:val="nil"/>
            </w:tcBorders>
            <w:shd w:val="clear" w:color="auto" w:fill="auto"/>
            <w:noWrap/>
            <w:vAlign w:val="bottom"/>
            <w:hideMark/>
          </w:tcPr>
          <w:p w14:paraId="724AADEF" w14:textId="77777777" w:rsidR="005B605A" w:rsidRPr="00474548" w:rsidRDefault="005B605A" w:rsidP="008E6F8E">
            <w:pPr>
              <w:rPr>
                <w:rFonts w:eastAsia="Times New Roman"/>
                <w:color w:val="000000"/>
                <w:sz w:val="20"/>
                <w:szCs w:val="20"/>
                <w:lang w:val="en-US"/>
              </w:rPr>
            </w:pPr>
          </w:p>
        </w:tc>
        <w:tc>
          <w:tcPr>
            <w:tcW w:w="2632" w:type="pct"/>
            <w:gridSpan w:val="3"/>
            <w:tcBorders>
              <w:top w:val="nil"/>
              <w:left w:val="nil"/>
              <w:bottom w:val="nil"/>
              <w:right w:val="nil"/>
            </w:tcBorders>
            <w:shd w:val="clear" w:color="auto" w:fill="auto"/>
            <w:noWrap/>
            <w:vAlign w:val="center"/>
            <w:hideMark/>
          </w:tcPr>
          <w:p w14:paraId="35FF9220"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Null hypotheses: without autocorrelation</w:t>
            </w:r>
          </w:p>
        </w:tc>
      </w:tr>
      <w:tr w:rsidR="005B605A" w:rsidRPr="00474548" w14:paraId="3D6A90B4" w14:textId="77777777" w:rsidTr="00AB10E8">
        <w:trPr>
          <w:trHeight w:val="255"/>
        </w:trPr>
        <w:tc>
          <w:tcPr>
            <w:tcW w:w="2368" w:type="pct"/>
            <w:gridSpan w:val="3"/>
            <w:tcBorders>
              <w:top w:val="nil"/>
              <w:left w:val="nil"/>
              <w:bottom w:val="nil"/>
              <w:right w:val="nil"/>
            </w:tcBorders>
            <w:shd w:val="clear" w:color="auto" w:fill="auto"/>
            <w:noWrap/>
            <w:vAlign w:val="center"/>
            <w:hideMark/>
          </w:tcPr>
          <w:p w14:paraId="10934440"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Statistics-F (2.4449) = 4246.72 (p-value &lt; 0.00001)</w:t>
            </w:r>
          </w:p>
        </w:tc>
        <w:tc>
          <w:tcPr>
            <w:tcW w:w="2632" w:type="pct"/>
            <w:gridSpan w:val="3"/>
            <w:tcBorders>
              <w:top w:val="nil"/>
              <w:left w:val="nil"/>
              <w:bottom w:val="nil"/>
              <w:right w:val="nil"/>
            </w:tcBorders>
            <w:shd w:val="clear" w:color="auto" w:fill="auto"/>
            <w:noWrap/>
            <w:vAlign w:val="center"/>
            <w:hideMark/>
          </w:tcPr>
          <w:p w14:paraId="7CAE150D" w14:textId="70523076"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Test statistics: LMF = 1</w:t>
            </w:r>
            <w:r w:rsidR="00B37B95" w:rsidRPr="00474548">
              <w:rPr>
                <w:color w:val="000000"/>
                <w:sz w:val="20"/>
                <w:szCs w:val="20"/>
                <w:lang w:val="en-US"/>
              </w:rPr>
              <w:t>.</w:t>
            </w:r>
            <w:r w:rsidRPr="00474548">
              <w:rPr>
                <w:color w:val="000000"/>
                <w:sz w:val="20"/>
                <w:szCs w:val="20"/>
                <w:lang w:val="en-US"/>
              </w:rPr>
              <w:t>33786</w:t>
            </w:r>
          </w:p>
        </w:tc>
      </w:tr>
      <w:tr w:rsidR="005B605A" w:rsidRPr="00474548" w14:paraId="4758CE83" w14:textId="77777777" w:rsidTr="00AB10E8">
        <w:trPr>
          <w:trHeight w:val="255"/>
        </w:trPr>
        <w:tc>
          <w:tcPr>
            <w:tcW w:w="2368" w:type="pct"/>
            <w:gridSpan w:val="3"/>
            <w:tcBorders>
              <w:top w:val="nil"/>
              <w:left w:val="nil"/>
              <w:bottom w:val="single" w:sz="4" w:space="0" w:color="auto"/>
              <w:right w:val="nil"/>
            </w:tcBorders>
            <w:shd w:val="clear" w:color="auto" w:fill="auto"/>
            <w:noWrap/>
            <w:vAlign w:val="center"/>
            <w:hideMark/>
          </w:tcPr>
          <w:p w14:paraId="3C3E2255" w14:textId="1C1A207F" w:rsidR="005B605A" w:rsidRPr="00474548" w:rsidRDefault="005B605A" w:rsidP="008E6F8E">
            <w:pPr>
              <w:rPr>
                <w:rFonts w:eastAsia="Times New Roman"/>
                <w:color w:val="000000"/>
                <w:sz w:val="20"/>
                <w:szCs w:val="20"/>
                <w:lang w:val="en-US"/>
              </w:rPr>
            </w:pPr>
            <w:r w:rsidRPr="00474548">
              <w:rPr>
                <w:color w:val="000000"/>
                <w:sz w:val="20"/>
                <w:szCs w:val="20"/>
                <w:lang w:val="en-US"/>
              </w:rPr>
              <w:t>Durbin-Watson Statistics = 2</w:t>
            </w:r>
            <w:r w:rsidR="00B37B95" w:rsidRPr="00474548">
              <w:rPr>
                <w:color w:val="000000"/>
                <w:sz w:val="20"/>
                <w:szCs w:val="20"/>
                <w:lang w:val="en-US"/>
              </w:rPr>
              <w:t>.</w:t>
            </w:r>
            <w:r w:rsidRPr="00474548">
              <w:rPr>
                <w:color w:val="000000"/>
                <w:sz w:val="20"/>
                <w:szCs w:val="20"/>
                <w:lang w:val="en-US"/>
              </w:rPr>
              <w:t>02792</w:t>
            </w:r>
          </w:p>
        </w:tc>
        <w:tc>
          <w:tcPr>
            <w:tcW w:w="2632" w:type="pct"/>
            <w:gridSpan w:val="3"/>
            <w:tcBorders>
              <w:top w:val="nil"/>
              <w:left w:val="nil"/>
              <w:bottom w:val="single" w:sz="4" w:space="0" w:color="auto"/>
              <w:right w:val="nil"/>
            </w:tcBorders>
            <w:shd w:val="clear" w:color="auto" w:fill="auto"/>
            <w:noWrap/>
            <w:vAlign w:val="center"/>
            <w:hideMark/>
          </w:tcPr>
          <w:p w14:paraId="36B7E1A9" w14:textId="5A02AE96"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w:t>
            </w:r>
            <w:proofErr w:type="gramStart"/>
            <w:r w:rsidRPr="00474548">
              <w:rPr>
                <w:color w:val="000000"/>
                <w:sz w:val="20"/>
                <w:szCs w:val="20"/>
                <w:lang w:val="en-US"/>
              </w:rPr>
              <w:t>with</w:t>
            </w:r>
            <w:proofErr w:type="gramEnd"/>
            <w:r w:rsidRPr="00474548">
              <w:rPr>
                <w:color w:val="000000"/>
                <w:sz w:val="20"/>
                <w:szCs w:val="20"/>
                <w:lang w:val="en-US"/>
              </w:rPr>
              <w:t xml:space="preserve"> p-value = P(F(5</w:t>
            </w:r>
            <w:r w:rsidR="00B37B95" w:rsidRPr="00474548">
              <w:rPr>
                <w:color w:val="000000"/>
                <w:sz w:val="20"/>
                <w:szCs w:val="20"/>
                <w:lang w:val="en-US"/>
              </w:rPr>
              <w:t>.</w:t>
            </w:r>
            <w:r w:rsidRPr="00474548">
              <w:rPr>
                <w:color w:val="000000"/>
                <w:sz w:val="20"/>
                <w:szCs w:val="20"/>
                <w:lang w:val="en-US"/>
              </w:rPr>
              <w:t>4439) &gt; 1</w:t>
            </w:r>
            <w:r w:rsidR="00B37B95" w:rsidRPr="00474548">
              <w:rPr>
                <w:color w:val="000000"/>
                <w:sz w:val="20"/>
                <w:szCs w:val="20"/>
                <w:lang w:val="en-US"/>
              </w:rPr>
              <w:t>.</w:t>
            </w:r>
            <w:r w:rsidRPr="00474548">
              <w:rPr>
                <w:color w:val="000000"/>
                <w:sz w:val="20"/>
                <w:szCs w:val="20"/>
                <w:lang w:val="en-US"/>
              </w:rPr>
              <w:t>33786) = 0</w:t>
            </w:r>
            <w:r w:rsidR="00B37B95" w:rsidRPr="00474548">
              <w:rPr>
                <w:color w:val="000000"/>
                <w:sz w:val="20"/>
                <w:szCs w:val="20"/>
                <w:lang w:val="en-US"/>
              </w:rPr>
              <w:t>.</w:t>
            </w:r>
            <w:r w:rsidRPr="00474548">
              <w:rPr>
                <w:color w:val="000000"/>
                <w:sz w:val="20"/>
                <w:szCs w:val="20"/>
                <w:lang w:val="en-US"/>
              </w:rPr>
              <w:t>245016</w:t>
            </w:r>
          </w:p>
        </w:tc>
      </w:tr>
    </w:tbl>
    <w:p w14:paraId="17326728" w14:textId="77777777" w:rsidR="005B605A" w:rsidRPr="00474548" w:rsidRDefault="005B605A" w:rsidP="008E6F8E">
      <w:pPr>
        <w:autoSpaceDE w:val="0"/>
        <w:autoSpaceDN w:val="0"/>
        <w:adjustRightInd w:val="0"/>
        <w:rPr>
          <w:sz w:val="22"/>
          <w:szCs w:val="22"/>
          <w:lang w:val="en-US"/>
        </w:rPr>
      </w:pPr>
    </w:p>
    <w:p w14:paraId="2336AD46" w14:textId="77777777" w:rsidR="000F7154" w:rsidRPr="00474548" w:rsidRDefault="000F7154" w:rsidP="008E6F8E">
      <w:pPr>
        <w:autoSpaceDE w:val="0"/>
        <w:autoSpaceDN w:val="0"/>
        <w:adjustRightInd w:val="0"/>
        <w:rPr>
          <w:sz w:val="22"/>
          <w:szCs w:val="22"/>
          <w:lang w:val="en-US"/>
        </w:rPr>
      </w:pPr>
    </w:p>
    <w:p w14:paraId="1B164541" w14:textId="7D6D67BD" w:rsidR="008D3DB1" w:rsidRPr="00474548" w:rsidRDefault="005B605A" w:rsidP="008E6F8E">
      <w:pPr>
        <w:pStyle w:val="Subtitle"/>
        <w:rPr>
          <w:rFonts w:ascii="Times New Roman" w:hAnsi="Times New Roman"/>
          <w:b/>
          <w:color w:val="000000"/>
          <w:sz w:val="22"/>
          <w:szCs w:val="22"/>
          <w:lang w:val="en-US"/>
        </w:rPr>
      </w:pPr>
      <w:bookmarkStart w:id="31" w:name="_Toc391473731"/>
      <w:r w:rsidRPr="00474548">
        <w:rPr>
          <w:rFonts w:ascii="Times New Roman" w:hAnsi="Times New Roman"/>
          <w:b/>
          <w:sz w:val="22"/>
          <w:szCs w:val="22"/>
          <w:lang w:val="en-US"/>
        </w:rPr>
        <w:t xml:space="preserve">4.6 Third sequence of tests: a </w:t>
      </w:r>
      <w:r w:rsidRPr="00474548">
        <w:rPr>
          <w:rFonts w:ascii="Times New Roman" w:hAnsi="Times New Roman"/>
          <w:b/>
          <w:i/>
          <w:sz w:val="22"/>
          <w:szCs w:val="22"/>
          <w:lang w:val="en-US"/>
        </w:rPr>
        <w:t>dummy</w:t>
      </w:r>
      <w:r w:rsidRPr="00474548">
        <w:rPr>
          <w:rFonts w:ascii="Times New Roman" w:hAnsi="Times New Roman"/>
          <w:b/>
          <w:sz w:val="22"/>
          <w:szCs w:val="22"/>
          <w:lang w:val="en-US"/>
        </w:rPr>
        <w:t xml:space="preserve"> for each </w:t>
      </w:r>
      <w:r w:rsidR="00A9583B" w:rsidRPr="00474548">
        <w:rPr>
          <w:rFonts w:ascii="Times New Roman" w:hAnsi="Times New Roman"/>
          <w:b/>
          <w:sz w:val="22"/>
          <w:szCs w:val="22"/>
          <w:lang w:val="en-US"/>
        </w:rPr>
        <w:t>T</w:t>
      </w:r>
      <w:r w:rsidRPr="00474548">
        <w:rPr>
          <w:rFonts w:ascii="Times New Roman" w:hAnsi="Times New Roman"/>
          <w:b/>
          <w:sz w:val="22"/>
          <w:szCs w:val="22"/>
          <w:lang w:val="en-US"/>
        </w:rPr>
        <w:t xml:space="preserve">ype of Other Significant Events of </w:t>
      </w:r>
      <w:r w:rsidR="00C4152F" w:rsidRPr="00474548">
        <w:rPr>
          <w:rFonts w:ascii="Times New Roman" w:hAnsi="Times New Roman"/>
          <w:b/>
          <w:sz w:val="22"/>
          <w:szCs w:val="22"/>
          <w:lang w:val="en-US"/>
        </w:rPr>
        <w:t>RC</w:t>
      </w:r>
      <w:r w:rsidRPr="00474548">
        <w:rPr>
          <w:rFonts w:ascii="Times New Roman" w:hAnsi="Times New Roman"/>
          <w:b/>
          <w:sz w:val="22"/>
          <w:szCs w:val="22"/>
          <w:lang w:val="en-US"/>
        </w:rPr>
        <w:t>s</w:t>
      </w:r>
      <w:bookmarkStart w:id="32" w:name="_Toc391473732"/>
      <w:bookmarkEnd w:id="31"/>
    </w:p>
    <w:p w14:paraId="61DBFAC7" w14:textId="77777777" w:rsidR="005B605A" w:rsidRPr="00474548" w:rsidRDefault="005B605A" w:rsidP="008E6F8E">
      <w:pPr>
        <w:pStyle w:val="Subtitle"/>
        <w:jc w:val="both"/>
        <w:rPr>
          <w:rFonts w:ascii="Times New Roman" w:hAnsi="Times New Roman"/>
          <w:sz w:val="22"/>
          <w:szCs w:val="22"/>
          <w:lang w:val="en-US"/>
        </w:rPr>
      </w:pPr>
      <w:r w:rsidRPr="00474548">
        <w:rPr>
          <w:rFonts w:ascii="Times New Roman" w:hAnsi="Times New Roman"/>
          <w:sz w:val="22"/>
          <w:szCs w:val="22"/>
          <w:lang w:val="en-US"/>
        </w:rPr>
        <w:t>4.6.1 Other Significant Events Type 1: Strong Intensity</w:t>
      </w:r>
      <w:bookmarkEnd w:id="32"/>
    </w:p>
    <w:p w14:paraId="4FBA3062" w14:textId="2EA42C5B" w:rsidR="001809F1" w:rsidRPr="00474548" w:rsidRDefault="00A9583B" w:rsidP="000F7154">
      <w:pPr>
        <w:pStyle w:val="ListParagraph"/>
        <w:ind w:left="0" w:firstLine="720"/>
        <w:jc w:val="both"/>
        <w:rPr>
          <w:color w:val="000000"/>
          <w:sz w:val="22"/>
          <w:szCs w:val="22"/>
          <w:lang w:val="en-US"/>
        </w:rPr>
      </w:pPr>
      <w:r w:rsidRPr="00474548">
        <w:rPr>
          <w:sz w:val="22"/>
          <w:szCs w:val="22"/>
          <w:lang w:val="en-US"/>
        </w:rPr>
        <w:t xml:space="preserve">The </w:t>
      </w:r>
      <w:r w:rsidR="005B605A" w:rsidRPr="00474548">
        <w:rPr>
          <w:i/>
          <w:sz w:val="22"/>
          <w:szCs w:val="22"/>
          <w:lang w:val="en-US"/>
        </w:rPr>
        <w:t>Dummy</w:t>
      </w:r>
      <w:r w:rsidR="005B605A" w:rsidRPr="00474548">
        <w:rPr>
          <w:sz w:val="22"/>
          <w:szCs w:val="22"/>
          <w:lang w:val="en-US"/>
        </w:rPr>
        <w:t xml:space="preserve"> variable </w:t>
      </w:r>
      <w:r w:rsidRPr="00474548">
        <w:rPr>
          <w:sz w:val="22"/>
          <w:szCs w:val="22"/>
          <w:lang w:val="en-US"/>
        </w:rPr>
        <w:t xml:space="preserve">for </w:t>
      </w:r>
      <w:r w:rsidR="005B605A" w:rsidRPr="00474548">
        <w:rPr>
          <w:sz w:val="22"/>
          <w:szCs w:val="22"/>
          <w:lang w:val="en-US"/>
        </w:rPr>
        <w:t xml:space="preserve">Other Significant Events Type 1 comprises </w:t>
      </w:r>
      <w:r w:rsidR="002D7695" w:rsidRPr="00474548">
        <w:rPr>
          <w:sz w:val="22"/>
          <w:szCs w:val="22"/>
          <w:lang w:val="en-US"/>
        </w:rPr>
        <w:t>ANEEL</w:t>
      </w:r>
      <w:r w:rsidR="005B605A" w:rsidRPr="00474548">
        <w:rPr>
          <w:sz w:val="22"/>
          <w:szCs w:val="22"/>
          <w:lang w:val="en-US"/>
        </w:rPr>
        <w:t xml:space="preserve"> Resolution 152/2003 of </w:t>
      </w:r>
      <w:r w:rsidRPr="00474548">
        <w:rPr>
          <w:sz w:val="22"/>
          <w:szCs w:val="22"/>
          <w:lang w:val="en-US"/>
        </w:rPr>
        <w:t>04/03/2003</w:t>
      </w:r>
      <w:r w:rsidR="005B605A" w:rsidRPr="00474548">
        <w:rPr>
          <w:sz w:val="22"/>
          <w:szCs w:val="22"/>
          <w:lang w:val="en-US"/>
        </w:rPr>
        <w:t xml:space="preserve"> and Decree n</w:t>
      </w:r>
      <w:r w:rsidR="002D7695" w:rsidRPr="00474548">
        <w:rPr>
          <w:sz w:val="22"/>
          <w:szCs w:val="22"/>
          <w:lang w:val="en-US"/>
        </w:rPr>
        <w:t>o</w:t>
      </w:r>
      <w:r w:rsidR="005B605A" w:rsidRPr="00474548">
        <w:rPr>
          <w:sz w:val="22"/>
          <w:szCs w:val="22"/>
          <w:lang w:val="en-US"/>
        </w:rPr>
        <w:t>. 4667 of 04/04/2003, captured by the 19th Regime Change, both of</w:t>
      </w:r>
      <w:r w:rsidR="00462E27" w:rsidRPr="00474548">
        <w:rPr>
          <w:sz w:val="22"/>
          <w:szCs w:val="22"/>
          <w:lang w:val="en-US"/>
        </w:rPr>
        <w:t xml:space="preserve"> strong</w:t>
      </w:r>
      <w:r w:rsidRPr="00474548">
        <w:rPr>
          <w:sz w:val="22"/>
          <w:szCs w:val="22"/>
          <w:lang w:val="en-US"/>
        </w:rPr>
        <w:t xml:space="preserve"> </w:t>
      </w:r>
      <w:r w:rsidR="005B605A" w:rsidRPr="00474548">
        <w:rPr>
          <w:sz w:val="22"/>
          <w:szCs w:val="22"/>
          <w:lang w:val="en-US"/>
        </w:rPr>
        <w:t>intensity</w:t>
      </w:r>
      <w:r w:rsidR="005B605A" w:rsidRPr="00474548">
        <w:rPr>
          <w:color w:val="000000"/>
          <w:sz w:val="22"/>
          <w:szCs w:val="22"/>
          <w:lang w:val="en-US"/>
        </w:rPr>
        <w:t xml:space="preserve">. </w:t>
      </w:r>
      <w:r w:rsidR="009F49FD" w:rsidRPr="00474548">
        <w:rPr>
          <w:color w:val="000000"/>
          <w:sz w:val="22"/>
          <w:szCs w:val="22"/>
          <w:lang w:val="en-US"/>
        </w:rPr>
        <w:t>The results are shown in Table 11</w:t>
      </w:r>
      <w:r w:rsidR="005B605A" w:rsidRPr="00474548">
        <w:rPr>
          <w:color w:val="000000"/>
          <w:sz w:val="22"/>
          <w:szCs w:val="22"/>
          <w:lang w:val="en-US"/>
        </w:rPr>
        <w:t>.</w:t>
      </w:r>
      <w:bookmarkStart w:id="33" w:name="_Toc391499593"/>
    </w:p>
    <w:p w14:paraId="34DEF3AC" w14:textId="77777777" w:rsidR="001809F1" w:rsidRPr="00474548" w:rsidRDefault="001809F1" w:rsidP="008E6F8E">
      <w:pPr>
        <w:pStyle w:val="Caption"/>
        <w:spacing w:after="0"/>
        <w:rPr>
          <w:b w:val="0"/>
          <w:color w:val="auto"/>
          <w:sz w:val="22"/>
          <w:szCs w:val="22"/>
          <w:lang w:val="en-US"/>
        </w:rPr>
      </w:pPr>
    </w:p>
    <w:p w14:paraId="326880F5" w14:textId="710A4956" w:rsidR="005B605A" w:rsidRPr="00474548" w:rsidRDefault="009F49FD" w:rsidP="008E6F8E">
      <w:pPr>
        <w:pStyle w:val="Caption"/>
        <w:spacing w:after="0"/>
        <w:rPr>
          <w:b w:val="0"/>
          <w:color w:val="auto"/>
          <w:sz w:val="22"/>
          <w:szCs w:val="22"/>
          <w:lang w:val="en-US"/>
        </w:rPr>
      </w:pPr>
      <w:r w:rsidRPr="00474548">
        <w:rPr>
          <w:b w:val="0"/>
          <w:color w:val="auto"/>
          <w:sz w:val="22"/>
          <w:szCs w:val="22"/>
          <w:lang w:val="en-US"/>
        </w:rPr>
        <w:t>Table 11</w:t>
      </w:r>
      <w:r w:rsidR="005B605A" w:rsidRPr="00474548">
        <w:rPr>
          <w:b w:val="0"/>
          <w:color w:val="auto"/>
          <w:sz w:val="22"/>
          <w:szCs w:val="22"/>
          <w:lang w:val="en-US"/>
        </w:rPr>
        <w:t xml:space="preserve"> - Other Significant Events Type 1: Strong </w:t>
      </w:r>
      <w:bookmarkEnd w:id="33"/>
      <w:r w:rsidR="005B605A" w:rsidRPr="00474548">
        <w:rPr>
          <w:b w:val="0"/>
          <w:color w:val="auto"/>
          <w:sz w:val="22"/>
          <w:szCs w:val="22"/>
          <w:lang w:val="en-US"/>
        </w:rPr>
        <w:t>Intensity</w:t>
      </w:r>
    </w:p>
    <w:tbl>
      <w:tblPr>
        <w:tblW w:w="5000" w:type="pct"/>
        <w:tblCellMar>
          <w:left w:w="70" w:type="dxa"/>
          <w:right w:w="70" w:type="dxa"/>
        </w:tblCellMar>
        <w:tblLook w:val="04A0" w:firstRow="1" w:lastRow="0" w:firstColumn="1" w:lastColumn="0" w:noHBand="0" w:noVBand="1"/>
      </w:tblPr>
      <w:tblGrid>
        <w:gridCol w:w="2417"/>
        <w:gridCol w:w="1110"/>
        <w:gridCol w:w="1246"/>
        <w:gridCol w:w="1750"/>
        <w:gridCol w:w="1215"/>
        <w:gridCol w:w="1422"/>
      </w:tblGrid>
      <w:tr w:rsidR="005B605A" w:rsidRPr="00474548" w14:paraId="79AE97C2" w14:textId="77777777" w:rsidTr="00AB10E8">
        <w:trPr>
          <w:trHeight w:val="420"/>
        </w:trPr>
        <w:tc>
          <w:tcPr>
            <w:tcW w:w="1170" w:type="pct"/>
            <w:tcBorders>
              <w:top w:val="single" w:sz="4" w:space="0" w:color="auto"/>
              <w:bottom w:val="single" w:sz="4" w:space="0" w:color="auto"/>
            </w:tcBorders>
            <w:shd w:val="clear" w:color="000000" w:fill="D9D9D9"/>
            <w:vAlign w:val="center"/>
            <w:hideMark/>
          </w:tcPr>
          <w:p w14:paraId="6E27FB09"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Variable</w:t>
            </w:r>
          </w:p>
        </w:tc>
        <w:tc>
          <w:tcPr>
            <w:tcW w:w="636" w:type="pct"/>
            <w:tcBorders>
              <w:top w:val="single" w:sz="4" w:space="0" w:color="auto"/>
              <w:bottom w:val="single" w:sz="4" w:space="0" w:color="auto"/>
            </w:tcBorders>
            <w:shd w:val="clear" w:color="000000" w:fill="D9D9D9"/>
            <w:vAlign w:val="center"/>
            <w:hideMark/>
          </w:tcPr>
          <w:p w14:paraId="0ED685C7"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Coefficient</w:t>
            </w:r>
          </w:p>
        </w:tc>
        <w:tc>
          <w:tcPr>
            <w:tcW w:w="710" w:type="pct"/>
            <w:tcBorders>
              <w:top w:val="single" w:sz="4" w:space="0" w:color="auto"/>
              <w:bottom w:val="single" w:sz="4" w:space="0" w:color="auto"/>
            </w:tcBorders>
            <w:shd w:val="clear" w:color="000000" w:fill="D9D9D9"/>
            <w:vAlign w:val="center"/>
            <w:hideMark/>
          </w:tcPr>
          <w:p w14:paraId="56D6E05C" w14:textId="77777777" w:rsidR="005B605A" w:rsidRPr="00474548" w:rsidRDefault="005B605A" w:rsidP="008E6F8E">
            <w:pPr>
              <w:jc w:val="center"/>
              <w:rPr>
                <w:rFonts w:eastAsia="Times New Roman"/>
                <w:i/>
                <w:iCs/>
                <w:color w:val="000000"/>
                <w:sz w:val="20"/>
                <w:szCs w:val="20"/>
                <w:lang w:val="en-US"/>
              </w:rPr>
            </w:pPr>
            <w:r w:rsidRPr="00474548">
              <w:rPr>
                <w:i/>
                <w:color w:val="000000"/>
                <w:sz w:val="20"/>
                <w:szCs w:val="20"/>
                <w:lang w:val="en-US"/>
              </w:rPr>
              <w:t>Standard Error</w:t>
            </w:r>
          </w:p>
        </w:tc>
        <w:tc>
          <w:tcPr>
            <w:tcW w:w="985" w:type="pct"/>
            <w:tcBorders>
              <w:top w:val="single" w:sz="4" w:space="0" w:color="auto"/>
              <w:bottom w:val="single" w:sz="4" w:space="0" w:color="auto"/>
            </w:tcBorders>
            <w:shd w:val="clear" w:color="000000" w:fill="D9D9D9"/>
            <w:vAlign w:val="center"/>
            <w:hideMark/>
          </w:tcPr>
          <w:p w14:paraId="0C6A04B0" w14:textId="54B15BDE" w:rsidR="005B605A" w:rsidRPr="00474548" w:rsidRDefault="00A8308C" w:rsidP="008E6F8E">
            <w:pPr>
              <w:jc w:val="center"/>
              <w:rPr>
                <w:rFonts w:eastAsia="Times New Roman"/>
                <w:i/>
                <w:iCs/>
                <w:color w:val="000000"/>
                <w:sz w:val="20"/>
                <w:szCs w:val="20"/>
                <w:lang w:val="en-US"/>
              </w:rPr>
            </w:pPr>
            <w:r w:rsidRPr="00474548">
              <w:rPr>
                <w:color w:val="000000"/>
                <w:kern w:val="0"/>
                <w:sz w:val="20"/>
                <w:szCs w:val="20"/>
                <w:lang w:val="en-US"/>
              </w:rPr>
              <w:t>Standardized Beta</w:t>
            </w:r>
          </w:p>
        </w:tc>
        <w:tc>
          <w:tcPr>
            <w:tcW w:w="693" w:type="pct"/>
            <w:tcBorders>
              <w:top w:val="single" w:sz="4" w:space="0" w:color="auto"/>
              <w:bottom w:val="single" w:sz="4" w:space="0" w:color="auto"/>
            </w:tcBorders>
            <w:shd w:val="clear" w:color="000000" w:fill="D9D9D9"/>
            <w:vAlign w:val="center"/>
          </w:tcPr>
          <w:p w14:paraId="5A42908E" w14:textId="636B4192" w:rsidR="005B605A" w:rsidRPr="00474548" w:rsidRDefault="002D7695" w:rsidP="008E6F8E">
            <w:pPr>
              <w:jc w:val="center"/>
              <w:rPr>
                <w:rFonts w:eastAsia="Times New Roman"/>
                <w:i/>
                <w:iCs/>
                <w:color w:val="000000"/>
                <w:sz w:val="20"/>
                <w:szCs w:val="20"/>
                <w:lang w:val="en-US"/>
              </w:rPr>
            </w:pPr>
            <w:proofErr w:type="gramStart"/>
            <w:r w:rsidRPr="00474548">
              <w:rPr>
                <w:i/>
                <w:color w:val="000000"/>
                <w:sz w:val="20"/>
                <w:szCs w:val="20"/>
                <w:lang w:val="en-US"/>
              </w:rPr>
              <w:t>t</w:t>
            </w:r>
            <w:proofErr w:type="gramEnd"/>
            <w:r w:rsidRPr="00474548">
              <w:rPr>
                <w:i/>
                <w:color w:val="000000"/>
                <w:sz w:val="20"/>
                <w:szCs w:val="20"/>
                <w:lang w:val="en-US"/>
              </w:rPr>
              <w:t>-</w:t>
            </w:r>
            <w:r w:rsidR="005B605A" w:rsidRPr="00474548">
              <w:rPr>
                <w:i/>
                <w:color w:val="000000"/>
                <w:sz w:val="20"/>
                <w:szCs w:val="20"/>
                <w:lang w:val="en-US"/>
              </w:rPr>
              <w:t>statistics</w:t>
            </w:r>
          </w:p>
        </w:tc>
        <w:tc>
          <w:tcPr>
            <w:tcW w:w="806" w:type="pct"/>
            <w:tcBorders>
              <w:top w:val="single" w:sz="4" w:space="0" w:color="auto"/>
              <w:bottom w:val="single" w:sz="4" w:space="0" w:color="auto"/>
            </w:tcBorders>
            <w:shd w:val="clear" w:color="000000" w:fill="D9D9D9"/>
            <w:vAlign w:val="center"/>
            <w:hideMark/>
          </w:tcPr>
          <w:p w14:paraId="46B06F67" w14:textId="77777777" w:rsidR="005B605A" w:rsidRPr="00474548" w:rsidRDefault="005B605A" w:rsidP="008E6F8E">
            <w:pPr>
              <w:jc w:val="center"/>
              <w:rPr>
                <w:rFonts w:eastAsia="Times New Roman"/>
                <w:i/>
                <w:iCs/>
                <w:color w:val="000000"/>
                <w:sz w:val="20"/>
                <w:szCs w:val="20"/>
                <w:lang w:val="en-US"/>
              </w:rPr>
            </w:pPr>
            <w:proofErr w:type="gramStart"/>
            <w:r w:rsidRPr="00474548">
              <w:rPr>
                <w:i/>
                <w:color w:val="000000"/>
                <w:sz w:val="20"/>
                <w:szCs w:val="20"/>
                <w:lang w:val="en-US"/>
              </w:rPr>
              <w:t>p</w:t>
            </w:r>
            <w:proofErr w:type="gramEnd"/>
            <w:r w:rsidRPr="00474548">
              <w:rPr>
                <w:i/>
                <w:color w:val="000000"/>
                <w:sz w:val="20"/>
                <w:szCs w:val="20"/>
                <w:lang w:val="en-US"/>
              </w:rPr>
              <w:t>-value</w:t>
            </w:r>
          </w:p>
        </w:tc>
      </w:tr>
      <w:tr w:rsidR="005B605A" w:rsidRPr="00474548" w14:paraId="639B5B3F" w14:textId="77777777" w:rsidTr="00AB10E8">
        <w:trPr>
          <w:trHeight w:val="347"/>
        </w:trPr>
        <w:tc>
          <w:tcPr>
            <w:tcW w:w="1170" w:type="pct"/>
            <w:tcBorders>
              <w:top w:val="single" w:sz="4" w:space="0" w:color="auto"/>
            </w:tcBorders>
            <w:shd w:val="clear" w:color="auto" w:fill="auto"/>
            <w:vAlign w:val="center"/>
            <w:hideMark/>
          </w:tcPr>
          <w:p w14:paraId="3A00E969"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Const.</w:t>
            </w:r>
          </w:p>
        </w:tc>
        <w:tc>
          <w:tcPr>
            <w:tcW w:w="636" w:type="pct"/>
            <w:tcBorders>
              <w:top w:val="single" w:sz="4" w:space="0" w:color="auto"/>
            </w:tcBorders>
            <w:shd w:val="clear" w:color="auto" w:fill="auto"/>
            <w:vAlign w:val="center"/>
            <w:hideMark/>
          </w:tcPr>
          <w:p w14:paraId="5007256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0.0001917</w:t>
            </w:r>
          </w:p>
        </w:tc>
        <w:tc>
          <w:tcPr>
            <w:tcW w:w="710" w:type="pct"/>
            <w:tcBorders>
              <w:top w:val="single" w:sz="4" w:space="0" w:color="auto"/>
            </w:tcBorders>
            <w:shd w:val="clear" w:color="auto" w:fill="auto"/>
            <w:vAlign w:val="center"/>
            <w:hideMark/>
          </w:tcPr>
          <w:p w14:paraId="3D32CC77"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0.000170105</w:t>
            </w:r>
          </w:p>
        </w:tc>
        <w:tc>
          <w:tcPr>
            <w:tcW w:w="985" w:type="pct"/>
            <w:tcBorders>
              <w:top w:val="single" w:sz="4" w:space="0" w:color="auto"/>
            </w:tcBorders>
            <w:shd w:val="clear" w:color="auto" w:fill="auto"/>
            <w:vAlign w:val="center"/>
            <w:hideMark/>
          </w:tcPr>
          <w:p w14:paraId="60DAC838" w14:textId="77777777" w:rsidR="005B605A" w:rsidRPr="00474548" w:rsidRDefault="005B605A" w:rsidP="008E6F8E">
            <w:pPr>
              <w:jc w:val="center"/>
              <w:rPr>
                <w:rFonts w:eastAsia="Times New Roman"/>
                <w:color w:val="000000"/>
                <w:sz w:val="20"/>
                <w:szCs w:val="20"/>
                <w:lang w:val="en-US"/>
              </w:rPr>
            </w:pPr>
          </w:p>
        </w:tc>
        <w:tc>
          <w:tcPr>
            <w:tcW w:w="693" w:type="pct"/>
            <w:tcBorders>
              <w:top w:val="single" w:sz="4" w:space="0" w:color="auto"/>
            </w:tcBorders>
            <w:shd w:val="clear" w:color="auto" w:fill="auto"/>
            <w:vAlign w:val="center"/>
          </w:tcPr>
          <w:p w14:paraId="44400820"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1.1273</w:t>
            </w:r>
          </w:p>
        </w:tc>
        <w:tc>
          <w:tcPr>
            <w:tcW w:w="806" w:type="pct"/>
            <w:tcBorders>
              <w:top w:val="single" w:sz="4" w:space="0" w:color="auto"/>
            </w:tcBorders>
            <w:shd w:val="clear" w:color="auto" w:fill="auto"/>
            <w:vAlign w:val="center"/>
            <w:hideMark/>
          </w:tcPr>
          <w:p w14:paraId="67849029"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0.25969</w:t>
            </w:r>
          </w:p>
        </w:tc>
      </w:tr>
      <w:tr w:rsidR="005B605A" w:rsidRPr="00474548" w14:paraId="40C048C4" w14:textId="77777777" w:rsidTr="00AB10E8">
        <w:trPr>
          <w:trHeight w:val="277"/>
        </w:trPr>
        <w:tc>
          <w:tcPr>
            <w:tcW w:w="1170" w:type="pct"/>
            <w:shd w:val="clear" w:color="auto" w:fill="auto"/>
            <w:vAlign w:val="center"/>
            <w:hideMark/>
          </w:tcPr>
          <w:p w14:paraId="5A085E5F"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RIBOVCORR</w:t>
            </w:r>
          </w:p>
        </w:tc>
        <w:tc>
          <w:tcPr>
            <w:tcW w:w="636" w:type="pct"/>
            <w:shd w:val="clear" w:color="auto" w:fill="auto"/>
            <w:vAlign w:val="center"/>
            <w:hideMark/>
          </w:tcPr>
          <w:p w14:paraId="0E193E3A"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0.70828</w:t>
            </w:r>
          </w:p>
        </w:tc>
        <w:tc>
          <w:tcPr>
            <w:tcW w:w="710" w:type="pct"/>
            <w:shd w:val="clear" w:color="auto" w:fill="auto"/>
            <w:vAlign w:val="center"/>
            <w:hideMark/>
          </w:tcPr>
          <w:p w14:paraId="7974F721"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0.0077032</w:t>
            </w:r>
          </w:p>
        </w:tc>
        <w:tc>
          <w:tcPr>
            <w:tcW w:w="985" w:type="pct"/>
            <w:shd w:val="clear" w:color="auto" w:fill="auto"/>
            <w:vAlign w:val="center"/>
            <w:hideMark/>
          </w:tcPr>
          <w:p w14:paraId="1739B8CF"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0.808</w:t>
            </w:r>
          </w:p>
        </w:tc>
        <w:tc>
          <w:tcPr>
            <w:tcW w:w="693" w:type="pct"/>
            <w:shd w:val="clear" w:color="auto" w:fill="auto"/>
            <w:vAlign w:val="center"/>
          </w:tcPr>
          <w:p w14:paraId="1C738E94"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91.9463</w:t>
            </w:r>
          </w:p>
        </w:tc>
        <w:tc>
          <w:tcPr>
            <w:tcW w:w="806" w:type="pct"/>
            <w:shd w:val="clear" w:color="auto" w:fill="auto"/>
            <w:vAlign w:val="center"/>
            <w:hideMark/>
          </w:tcPr>
          <w:p w14:paraId="18319225" w14:textId="4CB69E9A"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&lt;0</w:t>
            </w:r>
            <w:r w:rsidR="00A8308C" w:rsidRPr="00474548">
              <w:rPr>
                <w:color w:val="000000"/>
                <w:sz w:val="20"/>
                <w:szCs w:val="20"/>
                <w:lang w:val="en-US"/>
              </w:rPr>
              <w:t>.</w:t>
            </w:r>
            <w:r w:rsidRPr="00474548">
              <w:rPr>
                <w:color w:val="000000"/>
                <w:sz w:val="20"/>
                <w:szCs w:val="20"/>
                <w:lang w:val="en-US"/>
              </w:rPr>
              <w:t>00001</w:t>
            </w:r>
          </w:p>
        </w:tc>
      </w:tr>
      <w:tr w:rsidR="005B605A" w:rsidRPr="00474548" w14:paraId="029753D7" w14:textId="77777777" w:rsidTr="00AB10E8">
        <w:trPr>
          <w:trHeight w:val="153"/>
        </w:trPr>
        <w:tc>
          <w:tcPr>
            <w:tcW w:w="1170" w:type="pct"/>
            <w:tcBorders>
              <w:bottom w:val="single" w:sz="4" w:space="0" w:color="auto"/>
            </w:tcBorders>
            <w:shd w:val="clear" w:color="auto" w:fill="auto"/>
            <w:noWrap/>
            <w:vAlign w:val="center"/>
            <w:hideMark/>
          </w:tcPr>
          <w:p w14:paraId="2BB4714E"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DM_OU. EV. REL. TYPE 1</w:t>
            </w:r>
          </w:p>
        </w:tc>
        <w:tc>
          <w:tcPr>
            <w:tcW w:w="636" w:type="pct"/>
            <w:tcBorders>
              <w:bottom w:val="single" w:sz="4" w:space="0" w:color="auto"/>
            </w:tcBorders>
            <w:shd w:val="clear" w:color="auto" w:fill="auto"/>
            <w:noWrap/>
            <w:vAlign w:val="bottom"/>
            <w:hideMark/>
          </w:tcPr>
          <w:p w14:paraId="446B789B"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0.45297</w:t>
            </w:r>
          </w:p>
        </w:tc>
        <w:tc>
          <w:tcPr>
            <w:tcW w:w="710" w:type="pct"/>
            <w:tcBorders>
              <w:bottom w:val="single" w:sz="4" w:space="0" w:color="auto"/>
            </w:tcBorders>
            <w:shd w:val="clear" w:color="auto" w:fill="auto"/>
            <w:noWrap/>
            <w:vAlign w:val="bottom"/>
            <w:hideMark/>
          </w:tcPr>
          <w:p w14:paraId="69FE9FC8"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0.137813</w:t>
            </w:r>
          </w:p>
        </w:tc>
        <w:tc>
          <w:tcPr>
            <w:tcW w:w="985" w:type="pct"/>
            <w:tcBorders>
              <w:bottom w:val="single" w:sz="4" w:space="0" w:color="auto"/>
            </w:tcBorders>
            <w:shd w:val="clear" w:color="auto" w:fill="auto"/>
            <w:noWrap/>
            <w:vAlign w:val="bottom"/>
            <w:hideMark/>
          </w:tcPr>
          <w:p w14:paraId="6844B4D0"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0.029</w:t>
            </w:r>
          </w:p>
        </w:tc>
        <w:tc>
          <w:tcPr>
            <w:tcW w:w="693" w:type="pct"/>
            <w:tcBorders>
              <w:bottom w:val="single" w:sz="4" w:space="0" w:color="auto"/>
            </w:tcBorders>
            <w:shd w:val="clear" w:color="auto" w:fill="auto"/>
            <w:vAlign w:val="bottom"/>
          </w:tcPr>
          <w:p w14:paraId="2ED984C0"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3.2868</w:t>
            </w:r>
          </w:p>
        </w:tc>
        <w:tc>
          <w:tcPr>
            <w:tcW w:w="806" w:type="pct"/>
            <w:tcBorders>
              <w:bottom w:val="single" w:sz="4" w:space="0" w:color="auto"/>
            </w:tcBorders>
            <w:shd w:val="clear" w:color="auto" w:fill="auto"/>
            <w:noWrap/>
            <w:vAlign w:val="bottom"/>
            <w:hideMark/>
          </w:tcPr>
          <w:p w14:paraId="69C696E2" w14:textId="77777777" w:rsidR="005B605A" w:rsidRPr="00474548" w:rsidRDefault="005B605A" w:rsidP="008E6F8E">
            <w:pPr>
              <w:jc w:val="center"/>
              <w:rPr>
                <w:rFonts w:eastAsia="Times New Roman"/>
                <w:color w:val="000000"/>
                <w:sz w:val="20"/>
                <w:szCs w:val="20"/>
                <w:lang w:val="en-US"/>
              </w:rPr>
            </w:pPr>
            <w:r w:rsidRPr="00474548">
              <w:rPr>
                <w:color w:val="000000"/>
                <w:sz w:val="20"/>
                <w:szCs w:val="20"/>
                <w:lang w:val="en-US"/>
              </w:rPr>
              <w:t>0.00102</w:t>
            </w:r>
          </w:p>
        </w:tc>
      </w:tr>
      <w:tr w:rsidR="005B605A" w:rsidRPr="00474548" w14:paraId="3B3D45F9" w14:textId="77777777" w:rsidTr="00AB10E8">
        <w:trPr>
          <w:trHeight w:val="176"/>
        </w:trPr>
        <w:tc>
          <w:tcPr>
            <w:tcW w:w="1806" w:type="pct"/>
            <w:gridSpan w:val="2"/>
            <w:tcBorders>
              <w:top w:val="single" w:sz="4" w:space="0" w:color="auto"/>
              <w:left w:val="nil"/>
              <w:bottom w:val="nil"/>
              <w:right w:val="nil"/>
            </w:tcBorders>
            <w:shd w:val="clear" w:color="auto" w:fill="auto"/>
            <w:noWrap/>
            <w:vAlign w:val="center"/>
            <w:hideMark/>
          </w:tcPr>
          <w:p w14:paraId="02781CA0"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RIEECOR</w:t>
            </w:r>
          </w:p>
        </w:tc>
        <w:tc>
          <w:tcPr>
            <w:tcW w:w="710" w:type="pct"/>
            <w:tcBorders>
              <w:top w:val="single" w:sz="4" w:space="0" w:color="auto"/>
              <w:left w:val="nil"/>
              <w:bottom w:val="nil"/>
              <w:right w:val="nil"/>
            </w:tcBorders>
            <w:shd w:val="clear" w:color="auto" w:fill="auto"/>
            <w:noWrap/>
            <w:vAlign w:val="bottom"/>
            <w:hideMark/>
          </w:tcPr>
          <w:p w14:paraId="54EEDE79" w14:textId="77777777" w:rsidR="005B605A" w:rsidRPr="00474548" w:rsidRDefault="005B605A" w:rsidP="008E6F8E">
            <w:pPr>
              <w:rPr>
                <w:rFonts w:eastAsia="Times New Roman"/>
                <w:color w:val="000000"/>
                <w:sz w:val="20"/>
                <w:szCs w:val="20"/>
                <w:lang w:val="en-US"/>
              </w:rPr>
            </w:pPr>
          </w:p>
        </w:tc>
        <w:tc>
          <w:tcPr>
            <w:tcW w:w="2484" w:type="pct"/>
            <w:gridSpan w:val="3"/>
            <w:tcBorders>
              <w:top w:val="single" w:sz="4" w:space="0" w:color="auto"/>
              <w:left w:val="nil"/>
              <w:bottom w:val="nil"/>
              <w:right w:val="nil"/>
            </w:tcBorders>
            <w:shd w:val="clear" w:color="auto" w:fill="auto"/>
            <w:noWrap/>
            <w:vAlign w:val="center"/>
            <w:hideMark/>
          </w:tcPr>
          <w:p w14:paraId="6AD9A935" w14:textId="77777777"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Coeff</w:t>
            </w:r>
            <w:proofErr w:type="spellEnd"/>
            <w:r w:rsidRPr="00474548">
              <w:rPr>
                <w:color w:val="000000"/>
                <w:sz w:val="20"/>
                <w:szCs w:val="20"/>
                <w:lang w:val="en-US"/>
              </w:rPr>
              <w:t xml:space="preserve">. </w:t>
            </w:r>
            <w:proofErr w:type="gramStart"/>
            <w:r w:rsidRPr="00474548">
              <w:rPr>
                <w:color w:val="000000"/>
                <w:sz w:val="20"/>
                <w:szCs w:val="20"/>
                <w:lang w:val="en-US"/>
              </w:rPr>
              <w:t>of</w:t>
            </w:r>
            <w:proofErr w:type="gramEnd"/>
            <w:r w:rsidRPr="00474548">
              <w:rPr>
                <w:color w:val="000000"/>
                <w:sz w:val="20"/>
                <w:szCs w:val="20"/>
                <w:lang w:val="en-US"/>
              </w:rPr>
              <w:t xml:space="preserve"> 1st order autocorrelation = -0.01664</w:t>
            </w:r>
          </w:p>
        </w:tc>
      </w:tr>
      <w:tr w:rsidR="005B605A" w:rsidRPr="00474548" w14:paraId="410BD12B" w14:textId="77777777" w:rsidTr="00AB10E8">
        <w:trPr>
          <w:trHeight w:val="259"/>
        </w:trPr>
        <w:tc>
          <w:tcPr>
            <w:tcW w:w="2516" w:type="pct"/>
            <w:gridSpan w:val="3"/>
            <w:tcBorders>
              <w:top w:val="nil"/>
              <w:left w:val="nil"/>
              <w:bottom w:val="nil"/>
              <w:right w:val="nil"/>
            </w:tcBorders>
            <w:shd w:val="clear" w:color="auto" w:fill="auto"/>
            <w:noWrap/>
            <w:vAlign w:val="center"/>
            <w:hideMark/>
          </w:tcPr>
          <w:p w14:paraId="38B234B4" w14:textId="2AFE9DBB"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average = 0</w:t>
            </w:r>
            <w:r w:rsidR="00B37B95" w:rsidRPr="00474548">
              <w:rPr>
                <w:color w:val="000000"/>
                <w:sz w:val="20"/>
                <w:szCs w:val="20"/>
                <w:lang w:val="en-US"/>
              </w:rPr>
              <w:t>.</w:t>
            </w:r>
            <w:r w:rsidRPr="00474548">
              <w:rPr>
                <w:color w:val="000000"/>
                <w:sz w:val="20"/>
                <w:szCs w:val="20"/>
                <w:lang w:val="en-US"/>
              </w:rPr>
              <w:t>000644049</w:t>
            </w:r>
          </w:p>
        </w:tc>
        <w:tc>
          <w:tcPr>
            <w:tcW w:w="2484" w:type="pct"/>
            <w:gridSpan w:val="3"/>
            <w:tcBorders>
              <w:top w:val="nil"/>
              <w:left w:val="nil"/>
              <w:bottom w:val="nil"/>
              <w:right w:val="nil"/>
            </w:tcBorders>
            <w:shd w:val="clear" w:color="auto" w:fill="auto"/>
            <w:noWrap/>
            <w:vAlign w:val="center"/>
            <w:hideMark/>
          </w:tcPr>
          <w:p w14:paraId="279CAFAA" w14:textId="04F5E6C1" w:rsidR="005B605A" w:rsidRPr="00474548" w:rsidRDefault="005B605A" w:rsidP="008E6F8E">
            <w:pPr>
              <w:rPr>
                <w:rFonts w:eastAsia="Times New Roman"/>
                <w:color w:val="000000"/>
                <w:sz w:val="20"/>
                <w:szCs w:val="20"/>
                <w:lang w:val="en-US"/>
              </w:rPr>
            </w:pPr>
            <w:r w:rsidRPr="00474548">
              <w:rPr>
                <w:color w:val="000000"/>
                <w:sz w:val="20"/>
                <w:szCs w:val="20"/>
                <w:lang w:val="en-US"/>
              </w:rPr>
              <w:t>Likelihood logarithm = 13625</w:t>
            </w:r>
            <w:r w:rsidR="00B37B95" w:rsidRPr="00474548">
              <w:rPr>
                <w:color w:val="000000"/>
                <w:sz w:val="20"/>
                <w:szCs w:val="20"/>
                <w:lang w:val="en-US"/>
              </w:rPr>
              <w:t>.</w:t>
            </w:r>
            <w:r w:rsidRPr="00474548">
              <w:rPr>
                <w:color w:val="000000"/>
                <w:sz w:val="20"/>
                <w:szCs w:val="20"/>
                <w:lang w:val="en-US"/>
              </w:rPr>
              <w:t>5</w:t>
            </w:r>
          </w:p>
        </w:tc>
      </w:tr>
      <w:tr w:rsidR="005B605A" w:rsidRPr="00474548" w14:paraId="7469AAAB" w14:textId="77777777" w:rsidTr="00AB10E8">
        <w:trPr>
          <w:trHeight w:val="150"/>
        </w:trPr>
        <w:tc>
          <w:tcPr>
            <w:tcW w:w="2516" w:type="pct"/>
            <w:gridSpan w:val="3"/>
            <w:tcBorders>
              <w:top w:val="nil"/>
              <w:left w:val="nil"/>
              <w:bottom w:val="nil"/>
              <w:right w:val="nil"/>
            </w:tcBorders>
            <w:shd w:val="clear" w:color="auto" w:fill="auto"/>
            <w:noWrap/>
            <w:vAlign w:val="center"/>
            <w:hideMark/>
          </w:tcPr>
          <w:p w14:paraId="7D64323D" w14:textId="68A22917" w:rsidR="005B605A" w:rsidRPr="00474548" w:rsidRDefault="005B605A" w:rsidP="008E6F8E">
            <w:pPr>
              <w:rPr>
                <w:rFonts w:eastAsia="Times New Roman"/>
                <w:color w:val="000000"/>
                <w:sz w:val="20"/>
                <w:szCs w:val="20"/>
                <w:lang w:val="en-US"/>
              </w:rPr>
            </w:pPr>
            <w:r w:rsidRPr="00474548">
              <w:rPr>
                <w:color w:val="000000"/>
                <w:sz w:val="20"/>
                <w:szCs w:val="20"/>
                <w:lang w:val="en-US"/>
              </w:rPr>
              <w:t>Dependent variable standard deviation = 0</w:t>
            </w:r>
            <w:r w:rsidR="00B37B95" w:rsidRPr="00474548">
              <w:rPr>
                <w:color w:val="000000"/>
                <w:sz w:val="20"/>
                <w:szCs w:val="20"/>
                <w:lang w:val="en-US"/>
              </w:rPr>
              <w:t>.</w:t>
            </w:r>
            <w:r w:rsidRPr="00474548">
              <w:rPr>
                <w:color w:val="000000"/>
                <w:sz w:val="20"/>
                <w:szCs w:val="20"/>
                <w:lang w:val="en-US"/>
              </w:rPr>
              <w:t>0193657</w:t>
            </w:r>
          </w:p>
        </w:tc>
        <w:tc>
          <w:tcPr>
            <w:tcW w:w="2484" w:type="pct"/>
            <w:gridSpan w:val="3"/>
            <w:tcBorders>
              <w:top w:val="nil"/>
              <w:left w:val="nil"/>
              <w:bottom w:val="nil"/>
              <w:right w:val="nil"/>
            </w:tcBorders>
            <w:shd w:val="clear" w:color="auto" w:fill="auto"/>
            <w:noWrap/>
            <w:vAlign w:val="center"/>
            <w:hideMark/>
          </w:tcPr>
          <w:p w14:paraId="07E84347" w14:textId="77777777"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Akaike</w:t>
            </w:r>
            <w:proofErr w:type="spellEnd"/>
            <w:r w:rsidRPr="00474548">
              <w:rPr>
                <w:color w:val="000000"/>
                <w:sz w:val="20"/>
                <w:szCs w:val="20"/>
                <w:lang w:val="en-US"/>
              </w:rPr>
              <w:t xml:space="preserve"> information criterion = -27245</w:t>
            </w:r>
          </w:p>
        </w:tc>
      </w:tr>
      <w:tr w:rsidR="005B605A" w:rsidRPr="00474548" w14:paraId="6CF940F4" w14:textId="77777777" w:rsidTr="00AB10E8">
        <w:trPr>
          <w:trHeight w:val="224"/>
        </w:trPr>
        <w:tc>
          <w:tcPr>
            <w:tcW w:w="2516" w:type="pct"/>
            <w:gridSpan w:val="3"/>
            <w:tcBorders>
              <w:top w:val="nil"/>
              <w:left w:val="nil"/>
              <w:bottom w:val="nil"/>
              <w:right w:val="nil"/>
            </w:tcBorders>
            <w:shd w:val="clear" w:color="auto" w:fill="auto"/>
            <w:noWrap/>
            <w:vAlign w:val="center"/>
            <w:hideMark/>
          </w:tcPr>
          <w:p w14:paraId="14C564F3" w14:textId="300F534A" w:rsidR="005B605A" w:rsidRPr="00474548" w:rsidRDefault="005B605A" w:rsidP="008E6F8E">
            <w:pPr>
              <w:rPr>
                <w:rFonts w:eastAsia="Times New Roman"/>
                <w:color w:val="000000"/>
                <w:sz w:val="20"/>
                <w:szCs w:val="20"/>
                <w:lang w:val="en-US"/>
              </w:rPr>
            </w:pPr>
            <w:r w:rsidRPr="00474548">
              <w:rPr>
                <w:color w:val="000000"/>
                <w:sz w:val="20"/>
                <w:szCs w:val="20"/>
                <w:lang w:val="en-US"/>
              </w:rPr>
              <w:t>Sum of square residues = 0</w:t>
            </w:r>
            <w:r w:rsidR="00B37B95" w:rsidRPr="00474548">
              <w:rPr>
                <w:color w:val="000000"/>
                <w:sz w:val="20"/>
                <w:szCs w:val="20"/>
                <w:lang w:val="en-US"/>
              </w:rPr>
              <w:t>.</w:t>
            </w:r>
            <w:r w:rsidRPr="00474548">
              <w:rPr>
                <w:color w:val="000000"/>
                <w:sz w:val="20"/>
                <w:szCs w:val="20"/>
                <w:lang w:val="en-US"/>
              </w:rPr>
              <w:t>572442</w:t>
            </w:r>
          </w:p>
        </w:tc>
        <w:tc>
          <w:tcPr>
            <w:tcW w:w="2484" w:type="pct"/>
            <w:gridSpan w:val="3"/>
            <w:tcBorders>
              <w:top w:val="nil"/>
              <w:left w:val="nil"/>
              <w:bottom w:val="nil"/>
              <w:right w:val="nil"/>
            </w:tcBorders>
            <w:shd w:val="clear" w:color="auto" w:fill="auto"/>
            <w:noWrap/>
            <w:vAlign w:val="center"/>
            <w:hideMark/>
          </w:tcPr>
          <w:p w14:paraId="73BE7772" w14:textId="56FB01FE" w:rsidR="005B605A" w:rsidRPr="00474548" w:rsidRDefault="005B605A" w:rsidP="008E6F8E">
            <w:pPr>
              <w:rPr>
                <w:rFonts w:eastAsia="Times New Roman"/>
                <w:color w:val="000000"/>
                <w:sz w:val="20"/>
                <w:szCs w:val="20"/>
                <w:lang w:val="en-US"/>
              </w:rPr>
            </w:pPr>
            <w:r w:rsidRPr="00474548">
              <w:rPr>
                <w:color w:val="000000"/>
                <w:sz w:val="20"/>
                <w:szCs w:val="20"/>
                <w:lang w:val="en-US"/>
              </w:rPr>
              <w:t>Schwarz's Bayesian Criterion = -27225</w:t>
            </w:r>
            <w:r w:rsidR="00B37B95" w:rsidRPr="00474548">
              <w:rPr>
                <w:color w:val="000000"/>
                <w:sz w:val="20"/>
                <w:szCs w:val="20"/>
                <w:lang w:val="en-US"/>
              </w:rPr>
              <w:t>.</w:t>
            </w:r>
            <w:r w:rsidRPr="00474548">
              <w:rPr>
                <w:color w:val="000000"/>
                <w:sz w:val="20"/>
                <w:szCs w:val="20"/>
                <w:lang w:val="en-US"/>
              </w:rPr>
              <w:t>8</w:t>
            </w:r>
          </w:p>
        </w:tc>
      </w:tr>
      <w:tr w:rsidR="005B605A" w:rsidRPr="00474548" w14:paraId="259DE7DE" w14:textId="77777777" w:rsidTr="00AB10E8">
        <w:trPr>
          <w:trHeight w:val="142"/>
        </w:trPr>
        <w:tc>
          <w:tcPr>
            <w:tcW w:w="1806" w:type="pct"/>
            <w:gridSpan w:val="2"/>
            <w:tcBorders>
              <w:top w:val="nil"/>
              <w:left w:val="nil"/>
              <w:bottom w:val="nil"/>
              <w:right w:val="nil"/>
            </w:tcBorders>
            <w:shd w:val="clear" w:color="auto" w:fill="auto"/>
            <w:noWrap/>
            <w:vAlign w:val="center"/>
            <w:hideMark/>
          </w:tcPr>
          <w:p w14:paraId="313DCA40" w14:textId="76884B61" w:rsidR="005B605A" w:rsidRPr="00474548" w:rsidRDefault="005B605A" w:rsidP="008E6F8E">
            <w:pPr>
              <w:rPr>
                <w:rFonts w:eastAsia="Times New Roman"/>
                <w:color w:val="000000"/>
                <w:sz w:val="20"/>
                <w:szCs w:val="20"/>
                <w:lang w:val="en-US"/>
              </w:rPr>
            </w:pPr>
            <w:r w:rsidRPr="00474548">
              <w:rPr>
                <w:color w:val="000000"/>
                <w:sz w:val="20"/>
                <w:szCs w:val="20"/>
                <w:lang w:val="en-US"/>
              </w:rPr>
              <w:t>Standard error of residues = 0</w:t>
            </w:r>
            <w:r w:rsidR="00B37B95" w:rsidRPr="00474548">
              <w:rPr>
                <w:color w:val="000000"/>
                <w:sz w:val="20"/>
                <w:szCs w:val="20"/>
                <w:lang w:val="en-US"/>
              </w:rPr>
              <w:t>.</w:t>
            </w:r>
            <w:r w:rsidRPr="00474548">
              <w:rPr>
                <w:color w:val="000000"/>
                <w:sz w:val="20"/>
                <w:szCs w:val="20"/>
                <w:lang w:val="en-US"/>
              </w:rPr>
              <w:t>0113432</w:t>
            </w:r>
          </w:p>
        </w:tc>
        <w:tc>
          <w:tcPr>
            <w:tcW w:w="710" w:type="pct"/>
            <w:tcBorders>
              <w:top w:val="nil"/>
              <w:left w:val="nil"/>
              <w:bottom w:val="nil"/>
              <w:right w:val="nil"/>
            </w:tcBorders>
            <w:shd w:val="clear" w:color="auto" w:fill="auto"/>
            <w:noWrap/>
            <w:vAlign w:val="bottom"/>
            <w:hideMark/>
          </w:tcPr>
          <w:p w14:paraId="2A84CB99" w14:textId="77777777" w:rsidR="005B605A" w:rsidRPr="00474548" w:rsidRDefault="005B605A" w:rsidP="008E6F8E">
            <w:pPr>
              <w:rPr>
                <w:rFonts w:eastAsia="Times New Roman"/>
                <w:color w:val="000000"/>
                <w:sz w:val="20"/>
                <w:szCs w:val="20"/>
                <w:lang w:val="en-US"/>
              </w:rPr>
            </w:pPr>
          </w:p>
        </w:tc>
        <w:tc>
          <w:tcPr>
            <w:tcW w:w="2484" w:type="pct"/>
            <w:gridSpan w:val="3"/>
            <w:tcBorders>
              <w:top w:val="nil"/>
              <w:left w:val="nil"/>
              <w:bottom w:val="nil"/>
              <w:right w:val="nil"/>
            </w:tcBorders>
            <w:shd w:val="clear" w:color="auto" w:fill="auto"/>
            <w:noWrap/>
            <w:vAlign w:val="center"/>
            <w:hideMark/>
          </w:tcPr>
          <w:p w14:paraId="438377F6" w14:textId="65C0CDD5" w:rsidR="005B605A" w:rsidRPr="00474548" w:rsidRDefault="005B605A" w:rsidP="008E6F8E">
            <w:pPr>
              <w:rPr>
                <w:rFonts w:eastAsia="Times New Roman"/>
                <w:color w:val="000000"/>
                <w:sz w:val="20"/>
                <w:szCs w:val="20"/>
                <w:lang w:val="en-US"/>
              </w:rPr>
            </w:pPr>
            <w:proofErr w:type="spellStart"/>
            <w:r w:rsidRPr="00474548">
              <w:rPr>
                <w:color w:val="000000"/>
                <w:sz w:val="20"/>
                <w:szCs w:val="20"/>
                <w:lang w:val="en-US"/>
              </w:rPr>
              <w:t>Hannan</w:t>
            </w:r>
            <w:proofErr w:type="spellEnd"/>
            <w:r w:rsidRPr="00474548">
              <w:rPr>
                <w:color w:val="000000"/>
                <w:sz w:val="20"/>
                <w:szCs w:val="20"/>
                <w:lang w:val="en-US"/>
              </w:rPr>
              <w:t>-Quinn Criterion = -27238</w:t>
            </w:r>
            <w:r w:rsidR="00B37B95" w:rsidRPr="00474548">
              <w:rPr>
                <w:color w:val="000000"/>
                <w:sz w:val="20"/>
                <w:szCs w:val="20"/>
                <w:lang w:val="en-US"/>
              </w:rPr>
              <w:t>.</w:t>
            </w:r>
            <w:r w:rsidRPr="00474548">
              <w:rPr>
                <w:color w:val="000000"/>
                <w:sz w:val="20"/>
                <w:szCs w:val="20"/>
                <w:lang w:val="en-US"/>
              </w:rPr>
              <w:t>3</w:t>
            </w:r>
          </w:p>
        </w:tc>
      </w:tr>
      <w:tr w:rsidR="005B605A" w:rsidRPr="00474548" w14:paraId="2926460C" w14:textId="77777777" w:rsidTr="00AB10E8">
        <w:trPr>
          <w:trHeight w:val="216"/>
        </w:trPr>
        <w:tc>
          <w:tcPr>
            <w:tcW w:w="1806" w:type="pct"/>
            <w:gridSpan w:val="2"/>
            <w:tcBorders>
              <w:top w:val="nil"/>
              <w:left w:val="nil"/>
              <w:bottom w:val="nil"/>
              <w:right w:val="nil"/>
            </w:tcBorders>
            <w:shd w:val="clear" w:color="auto" w:fill="auto"/>
            <w:noWrap/>
            <w:vAlign w:val="center"/>
            <w:hideMark/>
          </w:tcPr>
          <w:p w14:paraId="35D4FEC6" w14:textId="30A55F7D"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not adjusted = 0</w:t>
            </w:r>
            <w:r w:rsidR="00B37B95" w:rsidRPr="00474548">
              <w:rPr>
                <w:color w:val="000000"/>
                <w:sz w:val="20"/>
                <w:szCs w:val="20"/>
                <w:lang w:val="en-US"/>
              </w:rPr>
              <w:t>.</w:t>
            </w:r>
            <w:r w:rsidRPr="00474548">
              <w:rPr>
                <w:color w:val="000000"/>
                <w:sz w:val="20"/>
                <w:szCs w:val="20"/>
                <w:lang w:val="en-US"/>
              </w:rPr>
              <w:t>657068</w:t>
            </w:r>
          </w:p>
        </w:tc>
        <w:tc>
          <w:tcPr>
            <w:tcW w:w="710" w:type="pct"/>
            <w:tcBorders>
              <w:top w:val="nil"/>
              <w:left w:val="nil"/>
              <w:bottom w:val="nil"/>
              <w:right w:val="nil"/>
            </w:tcBorders>
            <w:shd w:val="clear" w:color="auto" w:fill="auto"/>
            <w:noWrap/>
            <w:vAlign w:val="bottom"/>
            <w:hideMark/>
          </w:tcPr>
          <w:p w14:paraId="473EC493" w14:textId="77777777" w:rsidR="005B605A" w:rsidRPr="00474548" w:rsidRDefault="005B605A" w:rsidP="008E6F8E">
            <w:pPr>
              <w:rPr>
                <w:rFonts w:eastAsia="Times New Roman"/>
                <w:color w:val="000000"/>
                <w:sz w:val="20"/>
                <w:szCs w:val="20"/>
                <w:lang w:val="en-US"/>
              </w:rPr>
            </w:pPr>
          </w:p>
        </w:tc>
        <w:tc>
          <w:tcPr>
            <w:tcW w:w="2484" w:type="pct"/>
            <w:gridSpan w:val="3"/>
            <w:tcBorders>
              <w:top w:val="nil"/>
              <w:left w:val="nil"/>
              <w:bottom w:val="nil"/>
              <w:right w:val="nil"/>
            </w:tcBorders>
            <w:shd w:val="clear" w:color="auto" w:fill="auto"/>
            <w:noWrap/>
            <w:vAlign w:val="center"/>
            <w:hideMark/>
          </w:tcPr>
          <w:p w14:paraId="4E0822A7"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LM test for autocorrelation up to order 5 -</w:t>
            </w:r>
          </w:p>
        </w:tc>
      </w:tr>
      <w:tr w:rsidR="005B605A" w:rsidRPr="00474548" w14:paraId="5815EFA8" w14:textId="77777777" w:rsidTr="00AB10E8">
        <w:trPr>
          <w:trHeight w:val="147"/>
        </w:trPr>
        <w:tc>
          <w:tcPr>
            <w:tcW w:w="1806" w:type="pct"/>
            <w:gridSpan w:val="2"/>
            <w:tcBorders>
              <w:top w:val="nil"/>
              <w:left w:val="nil"/>
              <w:bottom w:val="nil"/>
              <w:right w:val="nil"/>
            </w:tcBorders>
            <w:shd w:val="clear" w:color="auto" w:fill="auto"/>
            <w:noWrap/>
            <w:vAlign w:val="center"/>
            <w:hideMark/>
          </w:tcPr>
          <w:p w14:paraId="3C5A0AFC" w14:textId="534D0298" w:rsidR="005B605A" w:rsidRPr="00474548" w:rsidRDefault="005B605A" w:rsidP="008E6F8E">
            <w:pPr>
              <w:rPr>
                <w:rFonts w:eastAsia="Times New Roman"/>
                <w:color w:val="000000"/>
                <w:sz w:val="20"/>
                <w:szCs w:val="20"/>
                <w:lang w:val="en-US"/>
              </w:rPr>
            </w:pPr>
            <w:r w:rsidRPr="00474548">
              <w:rPr>
                <w:color w:val="000000"/>
                <w:sz w:val="20"/>
                <w:szCs w:val="20"/>
                <w:lang w:val="en-US"/>
              </w:rPr>
              <w:t>R</w:t>
            </w:r>
            <w:r w:rsidRPr="00474548">
              <w:rPr>
                <w:color w:val="000000"/>
                <w:sz w:val="20"/>
                <w:szCs w:val="20"/>
                <w:vertAlign w:val="superscript"/>
                <w:lang w:val="en-US"/>
              </w:rPr>
              <w:t>2</w:t>
            </w:r>
            <w:r w:rsidRPr="00474548">
              <w:rPr>
                <w:color w:val="000000"/>
                <w:sz w:val="20"/>
                <w:szCs w:val="20"/>
                <w:lang w:val="en-US"/>
              </w:rPr>
              <w:t xml:space="preserve"> adjusted = 0</w:t>
            </w:r>
            <w:r w:rsidR="00B37B95" w:rsidRPr="00474548">
              <w:rPr>
                <w:color w:val="000000"/>
                <w:sz w:val="20"/>
                <w:szCs w:val="20"/>
                <w:lang w:val="en-US"/>
              </w:rPr>
              <w:t>.</w:t>
            </w:r>
            <w:r w:rsidRPr="00474548">
              <w:rPr>
                <w:color w:val="000000"/>
                <w:sz w:val="20"/>
                <w:szCs w:val="20"/>
                <w:lang w:val="en-US"/>
              </w:rPr>
              <w:t>656914</w:t>
            </w:r>
          </w:p>
        </w:tc>
        <w:tc>
          <w:tcPr>
            <w:tcW w:w="710" w:type="pct"/>
            <w:tcBorders>
              <w:top w:val="nil"/>
              <w:left w:val="nil"/>
              <w:bottom w:val="nil"/>
              <w:right w:val="nil"/>
            </w:tcBorders>
            <w:shd w:val="clear" w:color="auto" w:fill="auto"/>
            <w:noWrap/>
            <w:vAlign w:val="bottom"/>
            <w:hideMark/>
          </w:tcPr>
          <w:p w14:paraId="65642A1B" w14:textId="77777777" w:rsidR="005B605A" w:rsidRPr="00474548" w:rsidRDefault="005B605A" w:rsidP="008E6F8E">
            <w:pPr>
              <w:rPr>
                <w:rFonts w:eastAsia="Times New Roman"/>
                <w:color w:val="000000"/>
                <w:sz w:val="20"/>
                <w:szCs w:val="20"/>
                <w:lang w:val="en-US"/>
              </w:rPr>
            </w:pPr>
          </w:p>
        </w:tc>
        <w:tc>
          <w:tcPr>
            <w:tcW w:w="2484" w:type="pct"/>
            <w:gridSpan w:val="3"/>
            <w:tcBorders>
              <w:top w:val="nil"/>
              <w:left w:val="nil"/>
              <w:bottom w:val="nil"/>
              <w:right w:val="nil"/>
            </w:tcBorders>
            <w:shd w:val="clear" w:color="auto" w:fill="auto"/>
            <w:noWrap/>
            <w:vAlign w:val="center"/>
            <w:hideMark/>
          </w:tcPr>
          <w:p w14:paraId="4EB02F5D"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Null hypotheses: without autocorrelation</w:t>
            </w:r>
          </w:p>
        </w:tc>
      </w:tr>
      <w:tr w:rsidR="005B605A" w:rsidRPr="00474548" w14:paraId="408F1E3A" w14:textId="77777777" w:rsidTr="00AB10E8">
        <w:trPr>
          <w:trHeight w:val="124"/>
        </w:trPr>
        <w:tc>
          <w:tcPr>
            <w:tcW w:w="2516" w:type="pct"/>
            <w:gridSpan w:val="3"/>
            <w:tcBorders>
              <w:top w:val="nil"/>
              <w:left w:val="nil"/>
              <w:bottom w:val="nil"/>
              <w:right w:val="nil"/>
            </w:tcBorders>
            <w:shd w:val="clear" w:color="auto" w:fill="auto"/>
            <w:noWrap/>
            <w:vAlign w:val="center"/>
            <w:hideMark/>
          </w:tcPr>
          <w:p w14:paraId="5C97D6F2"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Statistics-F (2.4449) = 4262.22 (p-value &lt; 0.00001)</w:t>
            </w:r>
          </w:p>
        </w:tc>
        <w:tc>
          <w:tcPr>
            <w:tcW w:w="2484" w:type="pct"/>
            <w:gridSpan w:val="3"/>
            <w:tcBorders>
              <w:top w:val="nil"/>
              <w:left w:val="nil"/>
              <w:bottom w:val="nil"/>
              <w:right w:val="nil"/>
            </w:tcBorders>
            <w:shd w:val="clear" w:color="auto" w:fill="auto"/>
            <w:noWrap/>
            <w:vAlign w:val="center"/>
            <w:hideMark/>
          </w:tcPr>
          <w:p w14:paraId="481DF6BA" w14:textId="4C69664C"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Test statistics: LMF = 1</w:t>
            </w:r>
            <w:r w:rsidR="00B37B95" w:rsidRPr="00474548">
              <w:rPr>
                <w:color w:val="000000"/>
                <w:sz w:val="20"/>
                <w:szCs w:val="20"/>
                <w:lang w:val="en-US"/>
              </w:rPr>
              <w:t>.</w:t>
            </w:r>
            <w:r w:rsidRPr="00474548">
              <w:rPr>
                <w:color w:val="000000"/>
                <w:sz w:val="20"/>
                <w:szCs w:val="20"/>
                <w:lang w:val="en-US"/>
              </w:rPr>
              <w:t>25523</w:t>
            </w:r>
          </w:p>
        </w:tc>
      </w:tr>
      <w:tr w:rsidR="005B605A" w:rsidRPr="00474548" w14:paraId="3C5E3900" w14:textId="77777777" w:rsidTr="00AB10E8">
        <w:trPr>
          <w:trHeight w:val="154"/>
        </w:trPr>
        <w:tc>
          <w:tcPr>
            <w:tcW w:w="1806" w:type="pct"/>
            <w:gridSpan w:val="2"/>
            <w:tcBorders>
              <w:top w:val="nil"/>
              <w:left w:val="nil"/>
              <w:bottom w:val="single" w:sz="4" w:space="0" w:color="auto"/>
              <w:right w:val="nil"/>
            </w:tcBorders>
            <w:shd w:val="clear" w:color="auto" w:fill="auto"/>
            <w:noWrap/>
            <w:vAlign w:val="center"/>
            <w:hideMark/>
          </w:tcPr>
          <w:p w14:paraId="4D877D0C" w14:textId="02864CBA" w:rsidR="005B605A" w:rsidRPr="00474548" w:rsidRDefault="005B605A" w:rsidP="008E6F8E">
            <w:pPr>
              <w:rPr>
                <w:rFonts w:eastAsia="Times New Roman"/>
                <w:color w:val="000000"/>
                <w:sz w:val="20"/>
                <w:szCs w:val="20"/>
                <w:lang w:val="en-US"/>
              </w:rPr>
            </w:pPr>
            <w:r w:rsidRPr="00474548">
              <w:rPr>
                <w:color w:val="000000"/>
                <w:sz w:val="20"/>
                <w:szCs w:val="20"/>
                <w:lang w:val="en-US"/>
              </w:rPr>
              <w:t>Durbin-Watson Statistics = 2</w:t>
            </w:r>
            <w:r w:rsidR="00B37B95" w:rsidRPr="00474548">
              <w:rPr>
                <w:color w:val="000000"/>
                <w:sz w:val="20"/>
                <w:szCs w:val="20"/>
                <w:lang w:val="en-US"/>
              </w:rPr>
              <w:t>.</w:t>
            </w:r>
            <w:r w:rsidRPr="00474548">
              <w:rPr>
                <w:color w:val="000000"/>
                <w:sz w:val="20"/>
                <w:szCs w:val="20"/>
                <w:lang w:val="en-US"/>
              </w:rPr>
              <w:t>03319</w:t>
            </w:r>
          </w:p>
        </w:tc>
        <w:tc>
          <w:tcPr>
            <w:tcW w:w="710" w:type="pct"/>
            <w:tcBorders>
              <w:top w:val="nil"/>
              <w:left w:val="nil"/>
              <w:bottom w:val="single" w:sz="4" w:space="0" w:color="auto"/>
              <w:right w:val="nil"/>
            </w:tcBorders>
            <w:shd w:val="clear" w:color="auto" w:fill="auto"/>
            <w:noWrap/>
            <w:vAlign w:val="bottom"/>
            <w:hideMark/>
          </w:tcPr>
          <w:p w14:paraId="61D5175D" w14:textId="77777777" w:rsidR="005B605A" w:rsidRPr="00474548" w:rsidRDefault="005B605A" w:rsidP="008E6F8E">
            <w:pPr>
              <w:rPr>
                <w:rFonts w:eastAsia="Times New Roman"/>
                <w:color w:val="000000"/>
                <w:sz w:val="20"/>
                <w:szCs w:val="20"/>
                <w:lang w:val="en-US"/>
              </w:rPr>
            </w:pPr>
            <w:r w:rsidRPr="00474548">
              <w:rPr>
                <w:color w:val="000000"/>
                <w:sz w:val="20"/>
                <w:szCs w:val="20"/>
                <w:lang w:val="en-US"/>
              </w:rPr>
              <w:t> </w:t>
            </w:r>
          </w:p>
        </w:tc>
        <w:tc>
          <w:tcPr>
            <w:tcW w:w="2484" w:type="pct"/>
            <w:gridSpan w:val="3"/>
            <w:tcBorders>
              <w:top w:val="nil"/>
              <w:left w:val="nil"/>
              <w:bottom w:val="single" w:sz="4" w:space="0" w:color="auto"/>
              <w:right w:val="nil"/>
            </w:tcBorders>
            <w:shd w:val="clear" w:color="auto" w:fill="auto"/>
            <w:noWrap/>
            <w:vAlign w:val="center"/>
            <w:hideMark/>
          </w:tcPr>
          <w:p w14:paraId="46EE3B1A" w14:textId="1998F760" w:rsidR="005B605A" w:rsidRPr="00474548" w:rsidRDefault="005B605A" w:rsidP="008E6F8E">
            <w:pPr>
              <w:rPr>
                <w:rFonts w:eastAsia="Times New Roman"/>
                <w:color w:val="000000"/>
                <w:sz w:val="20"/>
                <w:szCs w:val="20"/>
                <w:lang w:val="en-US"/>
              </w:rPr>
            </w:pPr>
            <w:r w:rsidRPr="00474548">
              <w:rPr>
                <w:color w:val="000000"/>
                <w:sz w:val="20"/>
                <w:szCs w:val="20"/>
                <w:lang w:val="en-US"/>
              </w:rPr>
              <w:t xml:space="preserve"> </w:t>
            </w:r>
            <w:proofErr w:type="gramStart"/>
            <w:r w:rsidRPr="00474548">
              <w:rPr>
                <w:color w:val="000000"/>
                <w:sz w:val="20"/>
                <w:szCs w:val="20"/>
                <w:lang w:val="en-US"/>
              </w:rPr>
              <w:t>with</w:t>
            </w:r>
            <w:proofErr w:type="gramEnd"/>
            <w:r w:rsidRPr="00474548">
              <w:rPr>
                <w:color w:val="000000"/>
                <w:sz w:val="20"/>
                <w:szCs w:val="20"/>
                <w:lang w:val="en-US"/>
              </w:rPr>
              <w:t xml:space="preserve"> p-value = P(F(5</w:t>
            </w:r>
            <w:r w:rsidR="00B37B95" w:rsidRPr="00474548">
              <w:rPr>
                <w:color w:val="000000"/>
                <w:sz w:val="20"/>
                <w:szCs w:val="20"/>
                <w:lang w:val="en-US"/>
              </w:rPr>
              <w:t>.</w:t>
            </w:r>
            <w:r w:rsidRPr="00474548">
              <w:rPr>
                <w:color w:val="000000"/>
                <w:sz w:val="20"/>
                <w:szCs w:val="20"/>
                <w:lang w:val="en-US"/>
              </w:rPr>
              <w:t>4439) &gt; 1</w:t>
            </w:r>
            <w:r w:rsidR="00B37B95" w:rsidRPr="00474548">
              <w:rPr>
                <w:color w:val="000000"/>
                <w:sz w:val="20"/>
                <w:szCs w:val="20"/>
                <w:lang w:val="en-US"/>
              </w:rPr>
              <w:t>.</w:t>
            </w:r>
            <w:r w:rsidRPr="00474548">
              <w:rPr>
                <w:color w:val="000000"/>
                <w:sz w:val="20"/>
                <w:szCs w:val="20"/>
                <w:lang w:val="en-US"/>
              </w:rPr>
              <w:t>25523) = 0</w:t>
            </w:r>
            <w:r w:rsidR="00B37B95" w:rsidRPr="00474548">
              <w:rPr>
                <w:color w:val="000000"/>
                <w:sz w:val="20"/>
                <w:szCs w:val="20"/>
                <w:lang w:val="en-US"/>
              </w:rPr>
              <w:t>.</w:t>
            </w:r>
            <w:r w:rsidRPr="00474548">
              <w:rPr>
                <w:color w:val="000000"/>
                <w:sz w:val="20"/>
                <w:szCs w:val="20"/>
                <w:lang w:val="en-US"/>
              </w:rPr>
              <w:t>2804</w:t>
            </w:r>
          </w:p>
        </w:tc>
      </w:tr>
    </w:tbl>
    <w:p w14:paraId="05BD85B4" w14:textId="77777777" w:rsidR="005B605A" w:rsidRPr="00474548" w:rsidRDefault="005B605A" w:rsidP="008E6F8E">
      <w:pPr>
        <w:pStyle w:val="ListParagraph"/>
        <w:ind w:left="0" w:firstLine="720"/>
        <w:jc w:val="both"/>
        <w:rPr>
          <w:color w:val="000000"/>
          <w:sz w:val="22"/>
          <w:szCs w:val="22"/>
          <w:lang w:val="en-US"/>
        </w:rPr>
      </w:pPr>
    </w:p>
    <w:p w14:paraId="52BEEF8E" w14:textId="0DEB384F" w:rsidR="005B605A" w:rsidRPr="00474548" w:rsidRDefault="005B605A" w:rsidP="008E6F8E">
      <w:pPr>
        <w:pStyle w:val="ListParagraph"/>
        <w:ind w:left="0" w:firstLine="720"/>
        <w:jc w:val="both"/>
        <w:rPr>
          <w:color w:val="000000"/>
          <w:sz w:val="22"/>
          <w:szCs w:val="22"/>
          <w:lang w:val="en-US"/>
        </w:rPr>
      </w:pPr>
      <w:r w:rsidRPr="00474548">
        <w:rPr>
          <w:color w:val="000000"/>
          <w:sz w:val="22"/>
          <w:szCs w:val="22"/>
          <w:lang w:val="en-US"/>
        </w:rPr>
        <w:t xml:space="preserve">The variable indicative of regulatory risk is statistically significant at 1% level. The results indicate that Other Significant Regulatory Events Type 1, </w:t>
      </w:r>
      <w:r w:rsidR="00A9583B" w:rsidRPr="00474548">
        <w:rPr>
          <w:color w:val="000000"/>
          <w:sz w:val="22"/>
          <w:szCs w:val="22"/>
          <w:lang w:val="en-US"/>
        </w:rPr>
        <w:t>s</w:t>
      </w:r>
      <w:r w:rsidRPr="00474548">
        <w:rPr>
          <w:color w:val="000000"/>
          <w:sz w:val="22"/>
          <w:szCs w:val="22"/>
          <w:lang w:val="en-US"/>
        </w:rPr>
        <w:t xml:space="preserve">trong </w:t>
      </w:r>
      <w:r w:rsidR="00A9583B" w:rsidRPr="00474548">
        <w:rPr>
          <w:color w:val="000000"/>
          <w:sz w:val="22"/>
          <w:szCs w:val="22"/>
          <w:lang w:val="en-US"/>
        </w:rPr>
        <w:t>i</w:t>
      </w:r>
      <w:r w:rsidRPr="00474548">
        <w:rPr>
          <w:color w:val="000000"/>
          <w:sz w:val="22"/>
          <w:szCs w:val="22"/>
          <w:lang w:val="en-US"/>
        </w:rPr>
        <w:t xml:space="preserve">ntensity, impact the </w:t>
      </w:r>
      <w:r w:rsidR="005D2747" w:rsidRPr="00474548">
        <w:rPr>
          <w:color w:val="000000"/>
          <w:sz w:val="22"/>
          <w:szCs w:val="22"/>
          <w:lang w:val="en-US"/>
        </w:rPr>
        <w:t>stock risks</w:t>
      </w:r>
      <w:r w:rsidRPr="00474548">
        <w:rPr>
          <w:color w:val="000000"/>
          <w:sz w:val="22"/>
          <w:szCs w:val="22"/>
          <w:lang w:val="en-US"/>
        </w:rPr>
        <w:t xml:space="preserve"> comprising the IEE</w:t>
      </w:r>
      <w:r w:rsidR="00A9583B" w:rsidRPr="00474548">
        <w:rPr>
          <w:color w:val="000000"/>
          <w:sz w:val="22"/>
          <w:szCs w:val="22"/>
          <w:lang w:val="en-US"/>
        </w:rPr>
        <w:t xml:space="preserve"> by 2.9%</w:t>
      </w:r>
      <w:r w:rsidRPr="00474548">
        <w:rPr>
          <w:color w:val="000000"/>
          <w:sz w:val="22"/>
          <w:szCs w:val="22"/>
          <w:lang w:val="en-US"/>
        </w:rPr>
        <w:t xml:space="preserve">. </w:t>
      </w:r>
    </w:p>
    <w:p w14:paraId="01F8F807" w14:textId="77777777" w:rsidR="005B605A" w:rsidRPr="00474548" w:rsidRDefault="005B605A" w:rsidP="008E6F8E">
      <w:pPr>
        <w:pStyle w:val="ListParagraph"/>
        <w:jc w:val="both"/>
        <w:rPr>
          <w:color w:val="000000"/>
          <w:sz w:val="22"/>
          <w:szCs w:val="22"/>
          <w:lang w:val="en-US"/>
        </w:rPr>
      </w:pPr>
    </w:p>
    <w:p w14:paraId="5A47CA35" w14:textId="05C9D4BB" w:rsidR="005B605A" w:rsidRPr="00474548" w:rsidRDefault="005B605A" w:rsidP="008E6F8E">
      <w:pPr>
        <w:pStyle w:val="Subtitle"/>
        <w:rPr>
          <w:rFonts w:ascii="Times New Roman" w:hAnsi="Times New Roman"/>
          <w:sz w:val="22"/>
          <w:szCs w:val="22"/>
          <w:lang w:val="en-US"/>
        </w:rPr>
      </w:pPr>
      <w:bookmarkStart w:id="34" w:name="_Toc391473733"/>
      <w:r w:rsidRPr="00474548">
        <w:rPr>
          <w:rFonts w:ascii="Times New Roman" w:hAnsi="Times New Roman"/>
          <w:sz w:val="22"/>
          <w:szCs w:val="22"/>
          <w:lang w:val="en-US"/>
        </w:rPr>
        <w:t>4.6.2 Other Significant Events Type 2: Medium Intensity</w:t>
      </w:r>
      <w:bookmarkEnd w:id="34"/>
    </w:p>
    <w:p w14:paraId="7C28B41D" w14:textId="5351915A" w:rsidR="003B4CB2" w:rsidRPr="00BB2864" w:rsidRDefault="005B605A" w:rsidP="00BB2864">
      <w:pPr>
        <w:pStyle w:val="ListParagraph"/>
        <w:ind w:left="0" w:firstLine="709"/>
        <w:jc w:val="both"/>
        <w:rPr>
          <w:rFonts w:eastAsia="Times New Roman"/>
          <w:sz w:val="22"/>
          <w:szCs w:val="22"/>
          <w:lang w:val="en-US"/>
        </w:rPr>
      </w:pPr>
      <w:r w:rsidRPr="00474548">
        <w:rPr>
          <w:sz w:val="22"/>
          <w:szCs w:val="22"/>
          <w:lang w:val="en-US"/>
        </w:rPr>
        <w:t xml:space="preserve">Other Significant Events Type 2 </w:t>
      </w:r>
      <w:proofErr w:type="gramStart"/>
      <w:r w:rsidRPr="00474548">
        <w:rPr>
          <w:sz w:val="22"/>
          <w:szCs w:val="22"/>
          <w:lang w:val="en-US"/>
        </w:rPr>
        <w:t>correspond</w:t>
      </w:r>
      <w:proofErr w:type="gramEnd"/>
      <w:r w:rsidRPr="00474548">
        <w:rPr>
          <w:sz w:val="22"/>
          <w:szCs w:val="22"/>
          <w:lang w:val="en-US"/>
        </w:rPr>
        <w:t xml:space="preserve"> to four Regime Changes or structural breaks, as described in Table 3</w:t>
      </w:r>
      <w:r w:rsidRPr="00474548">
        <w:rPr>
          <w:color w:val="000000"/>
          <w:sz w:val="22"/>
          <w:szCs w:val="22"/>
          <w:lang w:val="en-US"/>
        </w:rPr>
        <w:t xml:space="preserve">. </w:t>
      </w:r>
      <w:r w:rsidRPr="00474548">
        <w:rPr>
          <w:sz w:val="22"/>
          <w:szCs w:val="22"/>
          <w:lang w:val="en-US"/>
        </w:rPr>
        <w:t>The econometric te</w:t>
      </w:r>
      <w:r w:rsidR="009F49FD" w:rsidRPr="00474548">
        <w:rPr>
          <w:sz w:val="22"/>
          <w:szCs w:val="22"/>
          <w:lang w:val="en-US"/>
        </w:rPr>
        <w:t>sts results are shown in Table 12</w:t>
      </w:r>
      <w:r w:rsidRPr="00474548">
        <w:rPr>
          <w:sz w:val="22"/>
          <w:szCs w:val="22"/>
          <w:lang w:val="en-US"/>
        </w:rPr>
        <w:t>.</w:t>
      </w:r>
      <w:bookmarkStart w:id="35" w:name="_Toc391499594"/>
      <w:r w:rsidR="003B4CB2" w:rsidRPr="00474548">
        <w:rPr>
          <w:rFonts w:eastAsia="Times New Roman"/>
          <w:sz w:val="22"/>
          <w:szCs w:val="22"/>
          <w:lang w:val="en-US"/>
        </w:rPr>
        <w:t xml:space="preserve"> </w:t>
      </w:r>
      <w:r w:rsidR="003B4CB2" w:rsidRPr="00474548">
        <w:rPr>
          <w:sz w:val="22"/>
          <w:szCs w:val="22"/>
          <w:lang w:val="en-US"/>
        </w:rPr>
        <w:t>The variable indicating the regulatory risk of Other Events Type 2, medium intensity, is significant at 1% level, with an impact of 3.5% on the stock risks comprising the IEE.</w:t>
      </w:r>
    </w:p>
    <w:p w14:paraId="4092C3A2" w14:textId="77777777" w:rsidR="003B4CB2" w:rsidRDefault="003B4CB2" w:rsidP="003B4CB2"/>
    <w:p w14:paraId="6BE58C19" w14:textId="77777777" w:rsidR="006E641C" w:rsidRDefault="006E641C" w:rsidP="003B4CB2"/>
    <w:p w14:paraId="603C7CF0" w14:textId="77777777" w:rsidR="006E641C" w:rsidRDefault="006E641C" w:rsidP="003B4CB2"/>
    <w:p w14:paraId="0B91E5B9" w14:textId="77777777" w:rsidR="006E641C" w:rsidRDefault="006E641C" w:rsidP="003B4CB2"/>
    <w:p w14:paraId="77269836" w14:textId="77777777" w:rsidR="006E641C" w:rsidRDefault="006E641C" w:rsidP="003B4CB2"/>
    <w:p w14:paraId="1EAA3DB0" w14:textId="77777777" w:rsidR="006E641C" w:rsidRPr="00474548" w:rsidRDefault="006E641C" w:rsidP="003B4CB2">
      <w:bookmarkStart w:id="36" w:name="_GoBack"/>
      <w:bookmarkEnd w:id="36"/>
    </w:p>
    <w:p w14:paraId="2509D1DC" w14:textId="7E73105C" w:rsidR="005B605A" w:rsidRPr="00474548" w:rsidRDefault="009F49FD" w:rsidP="008E6F8E">
      <w:pPr>
        <w:pStyle w:val="Caption"/>
        <w:spacing w:after="0"/>
        <w:rPr>
          <w:b w:val="0"/>
          <w:color w:val="auto"/>
          <w:sz w:val="22"/>
          <w:szCs w:val="22"/>
          <w:lang w:val="en-US"/>
        </w:rPr>
      </w:pPr>
      <w:r w:rsidRPr="00474548">
        <w:rPr>
          <w:b w:val="0"/>
          <w:color w:val="auto"/>
          <w:sz w:val="22"/>
          <w:szCs w:val="22"/>
          <w:lang w:val="en-US"/>
        </w:rPr>
        <w:lastRenderedPageBreak/>
        <w:t>Table 12</w:t>
      </w:r>
      <w:r w:rsidR="005B605A" w:rsidRPr="00474548">
        <w:rPr>
          <w:b w:val="0"/>
          <w:color w:val="auto"/>
          <w:sz w:val="22"/>
          <w:szCs w:val="22"/>
          <w:lang w:val="en-US"/>
        </w:rPr>
        <w:t xml:space="preserve"> - Other Significant Events Type 2 of Medium Intensity:</w:t>
      </w:r>
      <w:bookmarkEnd w:id="35"/>
      <w:r w:rsidR="005B605A" w:rsidRPr="00474548">
        <w:rPr>
          <w:b w:val="0"/>
          <w:color w:val="auto"/>
          <w:sz w:val="22"/>
          <w:szCs w:val="22"/>
          <w:lang w:val="en-US"/>
        </w:rPr>
        <w:t xml:space="preserve"> </w:t>
      </w:r>
    </w:p>
    <w:tbl>
      <w:tblPr>
        <w:tblW w:w="0" w:type="auto"/>
        <w:tblInd w:w="55" w:type="dxa"/>
        <w:tblCellMar>
          <w:left w:w="70" w:type="dxa"/>
          <w:right w:w="70" w:type="dxa"/>
        </w:tblCellMar>
        <w:tblLook w:val="04A0" w:firstRow="1" w:lastRow="0" w:firstColumn="1" w:lastColumn="0" w:noHBand="0" w:noVBand="1"/>
      </w:tblPr>
      <w:tblGrid>
        <w:gridCol w:w="2446"/>
        <w:gridCol w:w="1190"/>
        <w:gridCol w:w="1380"/>
        <w:gridCol w:w="1783"/>
        <w:gridCol w:w="1145"/>
        <w:gridCol w:w="1146"/>
      </w:tblGrid>
      <w:tr w:rsidR="005B605A" w:rsidRPr="00474548" w14:paraId="28A4B3C2" w14:textId="77777777" w:rsidTr="00AB10E8">
        <w:trPr>
          <w:trHeight w:val="780"/>
        </w:trPr>
        <w:tc>
          <w:tcPr>
            <w:tcW w:w="0" w:type="auto"/>
            <w:tcBorders>
              <w:top w:val="single" w:sz="8" w:space="0" w:color="auto"/>
              <w:left w:val="nil"/>
              <w:bottom w:val="single" w:sz="8" w:space="0" w:color="auto"/>
              <w:right w:val="nil"/>
            </w:tcBorders>
            <w:shd w:val="clear" w:color="000000" w:fill="D9D9D9"/>
            <w:vAlign w:val="center"/>
            <w:hideMark/>
          </w:tcPr>
          <w:p w14:paraId="04C4AC8F" w14:textId="77777777" w:rsidR="005B605A" w:rsidRPr="00474548" w:rsidRDefault="005B605A" w:rsidP="008E6F8E">
            <w:pPr>
              <w:widowControl/>
              <w:suppressAutoHyphens w:val="0"/>
              <w:jc w:val="center"/>
              <w:rPr>
                <w:rFonts w:eastAsia="Times New Roman"/>
                <w:i/>
                <w:iCs/>
                <w:color w:val="000000"/>
                <w:kern w:val="0"/>
                <w:sz w:val="20"/>
                <w:szCs w:val="20"/>
                <w:lang w:val="en-US"/>
              </w:rPr>
            </w:pPr>
            <w:r w:rsidRPr="00474548">
              <w:rPr>
                <w:i/>
                <w:color w:val="000000"/>
                <w:kern w:val="0"/>
                <w:sz w:val="20"/>
                <w:szCs w:val="20"/>
                <w:lang w:val="en-US"/>
              </w:rPr>
              <w:t>Variable</w:t>
            </w:r>
          </w:p>
        </w:tc>
        <w:tc>
          <w:tcPr>
            <w:tcW w:w="0" w:type="auto"/>
            <w:tcBorders>
              <w:top w:val="single" w:sz="8" w:space="0" w:color="auto"/>
              <w:left w:val="nil"/>
              <w:bottom w:val="single" w:sz="8" w:space="0" w:color="auto"/>
              <w:right w:val="nil"/>
            </w:tcBorders>
            <w:shd w:val="clear" w:color="000000" w:fill="D9D9D9"/>
            <w:vAlign w:val="center"/>
            <w:hideMark/>
          </w:tcPr>
          <w:p w14:paraId="081C8FF1" w14:textId="77777777" w:rsidR="005B605A" w:rsidRPr="00474548" w:rsidRDefault="005B605A" w:rsidP="008E6F8E">
            <w:pPr>
              <w:widowControl/>
              <w:suppressAutoHyphens w:val="0"/>
              <w:jc w:val="center"/>
              <w:rPr>
                <w:rFonts w:eastAsia="Times New Roman"/>
                <w:i/>
                <w:iCs/>
                <w:color w:val="000000"/>
                <w:kern w:val="0"/>
                <w:sz w:val="20"/>
                <w:szCs w:val="20"/>
                <w:lang w:val="en-US"/>
              </w:rPr>
            </w:pPr>
            <w:r w:rsidRPr="00474548">
              <w:rPr>
                <w:i/>
                <w:color w:val="000000"/>
                <w:kern w:val="0"/>
                <w:sz w:val="20"/>
                <w:szCs w:val="20"/>
                <w:lang w:val="en-US"/>
              </w:rPr>
              <w:t>Coefficient</w:t>
            </w:r>
          </w:p>
        </w:tc>
        <w:tc>
          <w:tcPr>
            <w:tcW w:w="0" w:type="auto"/>
            <w:tcBorders>
              <w:top w:val="single" w:sz="8" w:space="0" w:color="auto"/>
              <w:left w:val="nil"/>
              <w:bottom w:val="single" w:sz="8" w:space="0" w:color="auto"/>
              <w:right w:val="nil"/>
            </w:tcBorders>
            <w:shd w:val="clear" w:color="000000" w:fill="D9D9D9"/>
            <w:vAlign w:val="center"/>
            <w:hideMark/>
          </w:tcPr>
          <w:p w14:paraId="4ACAC78C" w14:textId="77777777" w:rsidR="005B605A" w:rsidRPr="00474548" w:rsidRDefault="005B605A" w:rsidP="008E6F8E">
            <w:pPr>
              <w:widowControl/>
              <w:suppressAutoHyphens w:val="0"/>
              <w:jc w:val="center"/>
              <w:rPr>
                <w:rFonts w:eastAsia="Times New Roman"/>
                <w:i/>
                <w:iCs/>
                <w:color w:val="000000"/>
                <w:kern w:val="0"/>
                <w:sz w:val="20"/>
                <w:szCs w:val="20"/>
                <w:lang w:val="en-US"/>
              </w:rPr>
            </w:pPr>
            <w:r w:rsidRPr="00474548">
              <w:rPr>
                <w:i/>
                <w:color w:val="000000"/>
                <w:kern w:val="0"/>
                <w:sz w:val="20"/>
                <w:szCs w:val="20"/>
                <w:lang w:val="en-US"/>
              </w:rPr>
              <w:t>Standard Error</w:t>
            </w:r>
          </w:p>
        </w:tc>
        <w:tc>
          <w:tcPr>
            <w:tcW w:w="0" w:type="auto"/>
            <w:tcBorders>
              <w:top w:val="single" w:sz="8" w:space="0" w:color="auto"/>
              <w:left w:val="nil"/>
              <w:bottom w:val="single" w:sz="8" w:space="0" w:color="auto"/>
              <w:right w:val="nil"/>
            </w:tcBorders>
            <w:shd w:val="clear" w:color="000000" w:fill="D9D9D9"/>
            <w:vAlign w:val="center"/>
            <w:hideMark/>
          </w:tcPr>
          <w:p w14:paraId="60562C23" w14:textId="2B5E27AB" w:rsidR="005B605A" w:rsidRPr="00474548" w:rsidRDefault="00A8308C" w:rsidP="008E6F8E">
            <w:pPr>
              <w:widowControl/>
              <w:suppressAutoHyphens w:val="0"/>
              <w:jc w:val="center"/>
              <w:rPr>
                <w:rFonts w:eastAsia="Times New Roman"/>
                <w:i/>
                <w:color w:val="000000"/>
                <w:kern w:val="0"/>
                <w:sz w:val="20"/>
                <w:szCs w:val="20"/>
                <w:lang w:val="en-US"/>
              </w:rPr>
            </w:pPr>
            <w:r w:rsidRPr="00474548">
              <w:rPr>
                <w:i/>
                <w:color w:val="000000"/>
                <w:kern w:val="0"/>
                <w:sz w:val="20"/>
                <w:szCs w:val="20"/>
                <w:lang w:val="en-US"/>
              </w:rPr>
              <w:t>Standardized Beta</w:t>
            </w:r>
          </w:p>
        </w:tc>
        <w:tc>
          <w:tcPr>
            <w:tcW w:w="0" w:type="auto"/>
            <w:tcBorders>
              <w:top w:val="single" w:sz="8" w:space="0" w:color="auto"/>
              <w:left w:val="nil"/>
              <w:bottom w:val="single" w:sz="8" w:space="0" w:color="auto"/>
              <w:right w:val="nil"/>
            </w:tcBorders>
            <w:shd w:val="clear" w:color="000000" w:fill="D9D9D9"/>
            <w:vAlign w:val="center"/>
            <w:hideMark/>
          </w:tcPr>
          <w:p w14:paraId="64E8123B" w14:textId="54C7AB5D" w:rsidR="005B605A" w:rsidRPr="00474548" w:rsidRDefault="00556E37" w:rsidP="008E6F8E">
            <w:pPr>
              <w:widowControl/>
              <w:suppressAutoHyphens w:val="0"/>
              <w:jc w:val="center"/>
              <w:rPr>
                <w:rFonts w:eastAsia="Times New Roman"/>
                <w:i/>
                <w:iCs/>
                <w:color w:val="000000"/>
                <w:kern w:val="0"/>
                <w:sz w:val="20"/>
                <w:szCs w:val="20"/>
                <w:lang w:val="en-US"/>
              </w:rPr>
            </w:pPr>
            <w:proofErr w:type="gramStart"/>
            <w:r w:rsidRPr="00474548">
              <w:rPr>
                <w:i/>
                <w:color w:val="000000"/>
                <w:kern w:val="0"/>
                <w:sz w:val="20"/>
                <w:szCs w:val="20"/>
                <w:lang w:val="en-US"/>
              </w:rPr>
              <w:t>t</w:t>
            </w:r>
            <w:proofErr w:type="gramEnd"/>
            <w:r w:rsidRPr="00474548">
              <w:rPr>
                <w:i/>
                <w:color w:val="000000"/>
                <w:kern w:val="0"/>
                <w:sz w:val="20"/>
                <w:szCs w:val="20"/>
                <w:lang w:val="en-US"/>
              </w:rPr>
              <w:t>-</w:t>
            </w:r>
            <w:r w:rsidR="005B605A" w:rsidRPr="00474548">
              <w:rPr>
                <w:i/>
                <w:color w:val="000000"/>
                <w:kern w:val="0"/>
                <w:sz w:val="20"/>
                <w:szCs w:val="20"/>
                <w:lang w:val="en-US"/>
              </w:rPr>
              <w:t>statistics</w:t>
            </w:r>
          </w:p>
        </w:tc>
        <w:tc>
          <w:tcPr>
            <w:tcW w:w="0" w:type="auto"/>
            <w:tcBorders>
              <w:top w:val="single" w:sz="8" w:space="0" w:color="auto"/>
              <w:left w:val="nil"/>
              <w:bottom w:val="single" w:sz="8" w:space="0" w:color="auto"/>
              <w:right w:val="nil"/>
            </w:tcBorders>
            <w:shd w:val="clear" w:color="000000" w:fill="D9D9D9"/>
            <w:vAlign w:val="center"/>
            <w:hideMark/>
          </w:tcPr>
          <w:p w14:paraId="36104145" w14:textId="77777777" w:rsidR="005B605A" w:rsidRPr="00474548" w:rsidRDefault="005B605A" w:rsidP="008E6F8E">
            <w:pPr>
              <w:widowControl/>
              <w:suppressAutoHyphens w:val="0"/>
              <w:jc w:val="center"/>
              <w:rPr>
                <w:rFonts w:eastAsia="Times New Roman"/>
                <w:i/>
                <w:iCs/>
                <w:color w:val="000000"/>
                <w:kern w:val="0"/>
                <w:sz w:val="20"/>
                <w:szCs w:val="20"/>
                <w:lang w:val="en-US"/>
              </w:rPr>
            </w:pPr>
            <w:proofErr w:type="gramStart"/>
            <w:r w:rsidRPr="00474548">
              <w:rPr>
                <w:i/>
                <w:color w:val="000000"/>
                <w:kern w:val="0"/>
                <w:sz w:val="20"/>
                <w:szCs w:val="20"/>
                <w:lang w:val="en-US"/>
              </w:rPr>
              <w:t>p</w:t>
            </w:r>
            <w:proofErr w:type="gramEnd"/>
            <w:r w:rsidRPr="00474548">
              <w:rPr>
                <w:i/>
                <w:color w:val="000000"/>
                <w:kern w:val="0"/>
                <w:sz w:val="20"/>
                <w:szCs w:val="20"/>
                <w:lang w:val="en-US"/>
              </w:rPr>
              <w:t>-value</w:t>
            </w:r>
          </w:p>
        </w:tc>
      </w:tr>
      <w:tr w:rsidR="005B605A" w:rsidRPr="00474548" w14:paraId="2F2DBF0F" w14:textId="77777777" w:rsidTr="00AB10E8">
        <w:trPr>
          <w:trHeight w:val="198"/>
        </w:trPr>
        <w:tc>
          <w:tcPr>
            <w:tcW w:w="0" w:type="auto"/>
            <w:tcBorders>
              <w:top w:val="single" w:sz="8" w:space="0" w:color="auto"/>
              <w:left w:val="nil"/>
              <w:bottom w:val="nil"/>
              <w:right w:val="nil"/>
            </w:tcBorders>
            <w:shd w:val="clear" w:color="auto" w:fill="auto"/>
            <w:vAlign w:val="center"/>
            <w:hideMark/>
          </w:tcPr>
          <w:p w14:paraId="5190DC16"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Const.</w:t>
            </w:r>
          </w:p>
        </w:tc>
        <w:tc>
          <w:tcPr>
            <w:tcW w:w="0" w:type="auto"/>
            <w:tcBorders>
              <w:top w:val="single" w:sz="8" w:space="0" w:color="auto"/>
              <w:left w:val="nil"/>
              <w:bottom w:val="nil"/>
              <w:right w:val="nil"/>
            </w:tcBorders>
            <w:shd w:val="clear" w:color="auto" w:fill="auto"/>
            <w:vAlign w:val="center"/>
            <w:hideMark/>
          </w:tcPr>
          <w:p w14:paraId="3D582430"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0.000202546</w:t>
            </w:r>
          </w:p>
        </w:tc>
        <w:tc>
          <w:tcPr>
            <w:tcW w:w="0" w:type="auto"/>
            <w:tcBorders>
              <w:top w:val="nil"/>
              <w:left w:val="nil"/>
              <w:bottom w:val="nil"/>
              <w:right w:val="nil"/>
            </w:tcBorders>
            <w:shd w:val="clear" w:color="auto" w:fill="auto"/>
            <w:vAlign w:val="center"/>
            <w:hideMark/>
          </w:tcPr>
          <w:p w14:paraId="79712A5D"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0.00017</w:t>
            </w:r>
          </w:p>
        </w:tc>
        <w:tc>
          <w:tcPr>
            <w:tcW w:w="0" w:type="auto"/>
            <w:tcBorders>
              <w:top w:val="nil"/>
              <w:left w:val="nil"/>
              <w:bottom w:val="nil"/>
              <w:right w:val="nil"/>
            </w:tcBorders>
            <w:shd w:val="clear" w:color="auto" w:fill="auto"/>
            <w:vAlign w:val="center"/>
            <w:hideMark/>
          </w:tcPr>
          <w:p w14:paraId="05732554" w14:textId="77777777" w:rsidR="005B605A" w:rsidRPr="00474548" w:rsidRDefault="005B605A" w:rsidP="008E6F8E">
            <w:pPr>
              <w:widowControl/>
              <w:suppressAutoHyphens w:val="0"/>
              <w:rPr>
                <w:rFonts w:eastAsia="Times New Roman"/>
                <w:color w:val="000000"/>
                <w:kern w:val="0"/>
                <w:sz w:val="20"/>
                <w:szCs w:val="20"/>
                <w:lang w:val="en-US"/>
              </w:rPr>
            </w:pPr>
          </w:p>
        </w:tc>
        <w:tc>
          <w:tcPr>
            <w:tcW w:w="0" w:type="auto"/>
            <w:tcBorders>
              <w:top w:val="nil"/>
              <w:left w:val="nil"/>
              <w:bottom w:val="nil"/>
              <w:right w:val="nil"/>
            </w:tcBorders>
            <w:shd w:val="clear" w:color="auto" w:fill="auto"/>
            <w:vAlign w:val="center"/>
            <w:hideMark/>
          </w:tcPr>
          <w:p w14:paraId="2D6BBE97"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1.192</w:t>
            </w:r>
          </w:p>
        </w:tc>
        <w:tc>
          <w:tcPr>
            <w:tcW w:w="0" w:type="auto"/>
            <w:tcBorders>
              <w:top w:val="nil"/>
              <w:left w:val="nil"/>
              <w:bottom w:val="nil"/>
              <w:right w:val="nil"/>
            </w:tcBorders>
            <w:shd w:val="clear" w:color="auto" w:fill="auto"/>
            <w:vAlign w:val="center"/>
            <w:hideMark/>
          </w:tcPr>
          <w:p w14:paraId="197B6DBE"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0.23349</w:t>
            </w:r>
          </w:p>
        </w:tc>
      </w:tr>
      <w:tr w:rsidR="005B605A" w:rsidRPr="00474548" w14:paraId="67F869EC" w14:textId="77777777" w:rsidTr="00AB10E8">
        <w:trPr>
          <w:trHeight w:val="265"/>
        </w:trPr>
        <w:tc>
          <w:tcPr>
            <w:tcW w:w="0" w:type="auto"/>
            <w:tcBorders>
              <w:top w:val="nil"/>
              <w:left w:val="nil"/>
              <w:bottom w:val="nil"/>
              <w:right w:val="nil"/>
            </w:tcBorders>
            <w:shd w:val="clear" w:color="auto" w:fill="auto"/>
            <w:vAlign w:val="center"/>
            <w:hideMark/>
          </w:tcPr>
          <w:p w14:paraId="09075C4C"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RIBOVCORR</w:t>
            </w:r>
          </w:p>
        </w:tc>
        <w:tc>
          <w:tcPr>
            <w:tcW w:w="0" w:type="auto"/>
            <w:tcBorders>
              <w:top w:val="nil"/>
              <w:left w:val="nil"/>
              <w:bottom w:val="nil"/>
              <w:right w:val="nil"/>
            </w:tcBorders>
            <w:shd w:val="clear" w:color="auto" w:fill="auto"/>
            <w:vAlign w:val="center"/>
            <w:hideMark/>
          </w:tcPr>
          <w:p w14:paraId="7A6C8BC6"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0.705927</w:t>
            </w:r>
          </w:p>
        </w:tc>
        <w:tc>
          <w:tcPr>
            <w:tcW w:w="0" w:type="auto"/>
            <w:tcBorders>
              <w:top w:val="nil"/>
              <w:left w:val="nil"/>
              <w:bottom w:val="nil"/>
              <w:right w:val="nil"/>
            </w:tcBorders>
            <w:shd w:val="clear" w:color="auto" w:fill="auto"/>
            <w:vAlign w:val="center"/>
            <w:hideMark/>
          </w:tcPr>
          <w:p w14:paraId="313B25AA"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0.0077459</w:t>
            </w:r>
          </w:p>
        </w:tc>
        <w:tc>
          <w:tcPr>
            <w:tcW w:w="0" w:type="auto"/>
            <w:tcBorders>
              <w:top w:val="nil"/>
              <w:left w:val="nil"/>
              <w:bottom w:val="nil"/>
              <w:right w:val="nil"/>
            </w:tcBorders>
            <w:shd w:val="clear" w:color="auto" w:fill="auto"/>
            <w:vAlign w:val="center"/>
            <w:hideMark/>
          </w:tcPr>
          <w:p w14:paraId="4520B29D"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0.806</w:t>
            </w:r>
          </w:p>
        </w:tc>
        <w:tc>
          <w:tcPr>
            <w:tcW w:w="0" w:type="auto"/>
            <w:tcBorders>
              <w:top w:val="nil"/>
              <w:left w:val="nil"/>
              <w:bottom w:val="nil"/>
              <w:right w:val="nil"/>
            </w:tcBorders>
            <w:shd w:val="clear" w:color="auto" w:fill="auto"/>
            <w:vAlign w:val="center"/>
            <w:hideMark/>
          </w:tcPr>
          <w:p w14:paraId="1271124C"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91.135</w:t>
            </w:r>
          </w:p>
        </w:tc>
        <w:tc>
          <w:tcPr>
            <w:tcW w:w="0" w:type="auto"/>
            <w:tcBorders>
              <w:top w:val="nil"/>
              <w:left w:val="nil"/>
              <w:bottom w:val="nil"/>
              <w:right w:val="nil"/>
            </w:tcBorders>
            <w:shd w:val="clear" w:color="auto" w:fill="auto"/>
            <w:vAlign w:val="center"/>
            <w:hideMark/>
          </w:tcPr>
          <w:p w14:paraId="16D7983F" w14:textId="3F2E5802"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&lt;0</w:t>
            </w:r>
            <w:r w:rsidR="00A8308C" w:rsidRPr="00474548">
              <w:rPr>
                <w:color w:val="000000"/>
                <w:kern w:val="0"/>
                <w:sz w:val="20"/>
                <w:szCs w:val="20"/>
                <w:lang w:val="en-US"/>
              </w:rPr>
              <w:t>.</w:t>
            </w:r>
            <w:r w:rsidRPr="00474548">
              <w:rPr>
                <w:color w:val="000000"/>
                <w:kern w:val="0"/>
                <w:sz w:val="20"/>
                <w:szCs w:val="20"/>
                <w:lang w:val="en-US"/>
              </w:rPr>
              <w:t>00001</w:t>
            </w:r>
          </w:p>
        </w:tc>
      </w:tr>
      <w:tr w:rsidR="005B605A" w:rsidRPr="00474548" w14:paraId="2B65B71E" w14:textId="77777777" w:rsidTr="00AB10E8">
        <w:trPr>
          <w:trHeight w:val="126"/>
        </w:trPr>
        <w:tc>
          <w:tcPr>
            <w:tcW w:w="0" w:type="auto"/>
            <w:tcBorders>
              <w:top w:val="nil"/>
              <w:left w:val="nil"/>
              <w:bottom w:val="single" w:sz="8" w:space="0" w:color="auto"/>
              <w:right w:val="nil"/>
            </w:tcBorders>
            <w:shd w:val="clear" w:color="auto" w:fill="auto"/>
            <w:noWrap/>
            <w:vAlign w:val="center"/>
            <w:hideMark/>
          </w:tcPr>
          <w:p w14:paraId="4004760D"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DM_OU. EV. REL. TYPE 2</w:t>
            </w:r>
          </w:p>
        </w:tc>
        <w:tc>
          <w:tcPr>
            <w:tcW w:w="0" w:type="auto"/>
            <w:tcBorders>
              <w:top w:val="nil"/>
              <w:left w:val="nil"/>
              <w:bottom w:val="single" w:sz="8" w:space="0" w:color="auto"/>
              <w:right w:val="nil"/>
            </w:tcBorders>
            <w:shd w:val="clear" w:color="auto" w:fill="auto"/>
            <w:noWrap/>
            <w:vAlign w:val="center"/>
            <w:hideMark/>
          </w:tcPr>
          <w:p w14:paraId="0631991B"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0.24863</w:t>
            </w:r>
          </w:p>
        </w:tc>
        <w:tc>
          <w:tcPr>
            <w:tcW w:w="0" w:type="auto"/>
            <w:tcBorders>
              <w:top w:val="nil"/>
              <w:left w:val="nil"/>
              <w:bottom w:val="single" w:sz="8" w:space="0" w:color="auto"/>
              <w:right w:val="nil"/>
            </w:tcBorders>
            <w:shd w:val="clear" w:color="auto" w:fill="auto"/>
            <w:noWrap/>
            <w:vAlign w:val="center"/>
            <w:hideMark/>
          </w:tcPr>
          <w:p w14:paraId="37CB661E"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0.0630103</w:t>
            </w:r>
          </w:p>
        </w:tc>
        <w:tc>
          <w:tcPr>
            <w:tcW w:w="0" w:type="auto"/>
            <w:tcBorders>
              <w:top w:val="nil"/>
              <w:left w:val="nil"/>
              <w:bottom w:val="single" w:sz="8" w:space="0" w:color="auto"/>
              <w:right w:val="nil"/>
            </w:tcBorders>
            <w:shd w:val="clear" w:color="auto" w:fill="auto"/>
            <w:noWrap/>
            <w:vAlign w:val="center"/>
            <w:hideMark/>
          </w:tcPr>
          <w:p w14:paraId="1119676A"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0.035</w:t>
            </w:r>
          </w:p>
        </w:tc>
        <w:tc>
          <w:tcPr>
            <w:tcW w:w="0" w:type="auto"/>
            <w:tcBorders>
              <w:top w:val="nil"/>
              <w:left w:val="nil"/>
              <w:bottom w:val="single" w:sz="8" w:space="0" w:color="auto"/>
              <w:right w:val="nil"/>
            </w:tcBorders>
            <w:shd w:val="clear" w:color="auto" w:fill="auto"/>
            <w:vAlign w:val="center"/>
            <w:hideMark/>
          </w:tcPr>
          <w:p w14:paraId="16A1112C"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3.946</w:t>
            </w:r>
          </w:p>
        </w:tc>
        <w:tc>
          <w:tcPr>
            <w:tcW w:w="0" w:type="auto"/>
            <w:tcBorders>
              <w:top w:val="nil"/>
              <w:left w:val="nil"/>
              <w:bottom w:val="single" w:sz="8" w:space="0" w:color="auto"/>
              <w:right w:val="nil"/>
            </w:tcBorders>
            <w:shd w:val="clear" w:color="auto" w:fill="auto"/>
            <w:noWrap/>
            <w:vAlign w:val="center"/>
            <w:hideMark/>
          </w:tcPr>
          <w:p w14:paraId="3C1C7949"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0.00008</w:t>
            </w:r>
          </w:p>
        </w:tc>
      </w:tr>
      <w:tr w:rsidR="005B605A" w:rsidRPr="00474548" w14:paraId="5EC9E216" w14:textId="77777777" w:rsidTr="00AB10E8">
        <w:trPr>
          <w:trHeight w:val="166"/>
        </w:trPr>
        <w:tc>
          <w:tcPr>
            <w:tcW w:w="0" w:type="auto"/>
            <w:gridSpan w:val="2"/>
            <w:tcBorders>
              <w:top w:val="single" w:sz="8" w:space="0" w:color="auto"/>
              <w:left w:val="nil"/>
              <w:bottom w:val="nil"/>
              <w:right w:val="nil"/>
            </w:tcBorders>
            <w:shd w:val="clear" w:color="auto" w:fill="auto"/>
            <w:noWrap/>
            <w:vAlign w:val="center"/>
            <w:hideMark/>
          </w:tcPr>
          <w:p w14:paraId="782ECC51"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Dependent variable: RIEECOR</w:t>
            </w:r>
          </w:p>
        </w:tc>
        <w:tc>
          <w:tcPr>
            <w:tcW w:w="0" w:type="auto"/>
            <w:tcBorders>
              <w:top w:val="single" w:sz="8" w:space="0" w:color="auto"/>
              <w:left w:val="nil"/>
              <w:bottom w:val="nil"/>
              <w:right w:val="nil"/>
            </w:tcBorders>
            <w:shd w:val="clear" w:color="auto" w:fill="auto"/>
            <w:noWrap/>
            <w:vAlign w:val="bottom"/>
            <w:hideMark/>
          </w:tcPr>
          <w:p w14:paraId="36613823"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 </w:t>
            </w:r>
          </w:p>
        </w:tc>
        <w:tc>
          <w:tcPr>
            <w:tcW w:w="0" w:type="auto"/>
            <w:gridSpan w:val="3"/>
            <w:tcBorders>
              <w:top w:val="single" w:sz="8" w:space="0" w:color="auto"/>
              <w:left w:val="nil"/>
              <w:bottom w:val="nil"/>
              <w:right w:val="nil"/>
            </w:tcBorders>
            <w:shd w:val="clear" w:color="auto" w:fill="auto"/>
            <w:noWrap/>
            <w:vAlign w:val="center"/>
            <w:hideMark/>
          </w:tcPr>
          <w:p w14:paraId="4AB3622B" w14:textId="475A46D7" w:rsidR="005B605A" w:rsidRPr="00474548" w:rsidRDefault="005B605A" w:rsidP="008E6F8E">
            <w:pPr>
              <w:widowControl/>
              <w:suppressAutoHyphens w:val="0"/>
              <w:rPr>
                <w:rFonts w:eastAsia="Times New Roman"/>
                <w:color w:val="000000"/>
                <w:kern w:val="0"/>
                <w:sz w:val="20"/>
                <w:szCs w:val="20"/>
                <w:lang w:val="en-US"/>
              </w:rPr>
            </w:pPr>
            <w:proofErr w:type="spellStart"/>
            <w:r w:rsidRPr="00474548">
              <w:rPr>
                <w:color w:val="000000"/>
                <w:kern w:val="0"/>
                <w:sz w:val="20"/>
                <w:szCs w:val="20"/>
                <w:lang w:val="en-US"/>
              </w:rPr>
              <w:t>Coeff</w:t>
            </w:r>
            <w:proofErr w:type="spellEnd"/>
            <w:r w:rsidRPr="00474548">
              <w:rPr>
                <w:color w:val="000000"/>
                <w:kern w:val="0"/>
                <w:sz w:val="20"/>
                <w:szCs w:val="20"/>
                <w:lang w:val="en-US"/>
              </w:rPr>
              <w:t xml:space="preserve">. </w:t>
            </w:r>
            <w:proofErr w:type="gramStart"/>
            <w:r w:rsidRPr="00474548">
              <w:rPr>
                <w:color w:val="000000"/>
                <w:kern w:val="0"/>
                <w:sz w:val="20"/>
                <w:szCs w:val="20"/>
                <w:lang w:val="en-US"/>
              </w:rPr>
              <w:t>of</w:t>
            </w:r>
            <w:proofErr w:type="gramEnd"/>
            <w:r w:rsidRPr="00474548">
              <w:rPr>
                <w:color w:val="000000"/>
                <w:kern w:val="0"/>
                <w:sz w:val="20"/>
                <w:szCs w:val="20"/>
                <w:lang w:val="en-US"/>
              </w:rPr>
              <w:t xml:space="preserve"> 1st order autocorrelation = -0</w:t>
            </w:r>
            <w:r w:rsidR="00BC0B64" w:rsidRPr="00474548">
              <w:rPr>
                <w:color w:val="000000"/>
                <w:kern w:val="0"/>
                <w:sz w:val="20"/>
                <w:szCs w:val="20"/>
                <w:lang w:val="en-US"/>
              </w:rPr>
              <w:t>.</w:t>
            </w:r>
            <w:r w:rsidRPr="00474548">
              <w:rPr>
                <w:color w:val="000000"/>
                <w:kern w:val="0"/>
                <w:sz w:val="20"/>
                <w:szCs w:val="20"/>
                <w:lang w:val="en-US"/>
              </w:rPr>
              <w:t>0124</w:t>
            </w:r>
          </w:p>
        </w:tc>
      </w:tr>
      <w:tr w:rsidR="005B605A" w:rsidRPr="00474548" w14:paraId="7F3ACDC7" w14:textId="77777777" w:rsidTr="00AB10E8">
        <w:trPr>
          <w:trHeight w:val="218"/>
        </w:trPr>
        <w:tc>
          <w:tcPr>
            <w:tcW w:w="0" w:type="auto"/>
            <w:gridSpan w:val="3"/>
            <w:tcBorders>
              <w:top w:val="nil"/>
              <w:left w:val="nil"/>
              <w:bottom w:val="nil"/>
              <w:right w:val="nil"/>
            </w:tcBorders>
            <w:shd w:val="clear" w:color="auto" w:fill="auto"/>
            <w:noWrap/>
            <w:vAlign w:val="center"/>
            <w:hideMark/>
          </w:tcPr>
          <w:p w14:paraId="01F3575D" w14:textId="49C41A34"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Dependent variable average = 0</w:t>
            </w:r>
            <w:r w:rsidR="00B37B95" w:rsidRPr="00474548">
              <w:rPr>
                <w:color w:val="000000"/>
                <w:kern w:val="0"/>
                <w:sz w:val="20"/>
                <w:szCs w:val="20"/>
                <w:lang w:val="en-US"/>
              </w:rPr>
              <w:t>.</w:t>
            </w:r>
            <w:r w:rsidRPr="00474548">
              <w:rPr>
                <w:color w:val="000000"/>
                <w:kern w:val="0"/>
                <w:sz w:val="20"/>
                <w:szCs w:val="20"/>
                <w:lang w:val="en-US"/>
              </w:rPr>
              <w:t>000644049</w:t>
            </w:r>
          </w:p>
        </w:tc>
        <w:tc>
          <w:tcPr>
            <w:tcW w:w="0" w:type="auto"/>
            <w:gridSpan w:val="3"/>
            <w:tcBorders>
              <w:top w:val="nil"/>
              <w:left w:val="nil"/>
              <w:bottom w:val="nil"/>
              <w:right w:val="nil"/>
            </w:tcBorders>
            <w:shd w:val="clear" w:color="auto" w:fill="auto"/>
            <w:noWrap/>
            <w:vAlign w:val="center"/>
            <w:hideMark/>
          </w:tcPr>
          <w:p w14:paraId="6F6B3771" w14:textId="032E178F"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Likelihood logarithm = 13626</w:t>
            </w:r>
            <w:r w:rsidR="00B37B95" w:rsidRPr="00474548">
              <w:rPr>
                <w:color w:val="000000"/>
                <w:kern w:val="0"/>
                <w:sz w:val="20"/>
                <w:szCs w:val="20"/>
                <w:lang w:val="en-US"/>
              </w:rPr>
              <w:t>.</w:t>
            </w:r>
            <w:r w:rsidRPr="00474548">
              <w:rPr>
                <w:color w:val="000000"/>
                <w:kern w:val="0"/>
                <w:sz w:val="20"/>
                <w:szCs w:val="20"/>
                <w:lang w:val="en-US"/>
              </w:rPr>
              <w:t>6</w:t>
            </w:r>
          </w:p>
        </w:tc>
      </w:tr>
      <w:tr w:rsidR="005B605A" w:rsidRPr="00474548" w14:paraId="5216661F" w14:textId="77777777" w:rsidTr="00AB10E8">
        <w:trPr>
          <w:trHeight w:val="149"/>
        </w:trPr>
        <w:tc>
          <w:tcPr>
            <w:tcW w:w="0" w:type="auto"/>
            <w:gridSpan w:val="3"/>
            <w:tcBorders>
              <w:top w:val="nil"/>
              <w:left w:val="nil"/>
              <w:bottom w:val="nil"/>
              <w:right w:val="nil"/>
            </w:tcBorders>
            <w:shd w:val="clear" w:color="auto" w:fill="auto"/>
            <w:noWrap/>
            <w:vAlign w:val="center"/>
            <w:hideMark/>
          </w:tcPr>
          <w:p w14:paraId="0DF5596F" w14:textId="1A4A742F"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Dependent variable standard deviation = 0</w:t>
            </w:r>
            <w:r w:rsidR="00B37B95" w:rsidRPr="00474548">
              <w:rPr>
                <w:color w:val="000000"/>
                <w:kern w:val="0"/>
                <w:sz w:val="20"/>
                <w:szCs w:val="20"/>
                <w:lang w:val="en-US"/>
              </w:rPr>
              <w:t>.</w:t>
            </w:r>
            <w:r w:rsidRPr="00474548">
              <w:rPr>
                <w:color w:val="000000"/>
                <w:kern w:val="0"/>
                <w:sz w:val="20"/>
                <w:szCs w:val="20"/>
                <w:lang w:val="en-US"/>
              </w:rPr>
              <w:t>0193657</w:t>
            </w:r>
          </w:p>
        </w:tc>
        <w:tc>
          <w:tcPr>
            <w:tcW w:w="0" w:type="auto"/>
            <w:gridSpan w:val="3"/>
            <w:tcBorders>
              <w:top w:val="nil"/>
              <w:left w:val="nil"/>
              <w:bottom w:val="nil"/>
              <w:right w:val="nil"/>
            </w:tcBorders>
            <w:shd w:val="clear" w:color="auto" w:fill="auto"/>
            <w:noWrap/>
            <w:vAlign w:val="center"/>
            <w:hideMark/>
          </w:tcPr>
          <w:p w14:paraId="1874C0D5" w14:textId="35580180" w:rsidR="005B605A" w:rsidRPr="00474548" w:rsidRDefault="005B605A" w:rsidP="008E6F8E">
            <w:pPr>
              <w:widowControl/>
              <w:suppressAutoHyphens w:val="0"/>
              <w:rPr>
                <w:rFonts w:eastAsia="Times New Roman"/>
                <w:color w:val="000000"/>
                <w:kern w:val="0"/>
                <w:sz w:val="20"/>
                <w:szCs w:val="20"/>
                <w:lang w:val="en-US"/>
              </w:rPr>
            </w:pPr>
            <w:proofErr w:type="spellStart"/>
            <w:r w:rsidRPr="00474548">
              <w:rPr>
                <w:color w:val="000000"/>
                <w:kern w:val="0"/>
                <w:sz w:val="20"/>
                <w:szCs w:val="20"/>
                <w:lang w:val="en-US"/>
              </w:rPr>
              <w:t>Akaike</w:t>
            </w:r>
            <w:proofErr w:type="spellEnd"/>
            <w:r w:rsidRPr="00474548">
              <w:rPr>
                <w:color w:val="000000"/>
                <w:kern w:val="0"/>
                <w:sz w:val="20"/>
                <w:szCs w:val="20"/>
                <w:lang w:val="en-US"/>
              </w:rPr>
              <w:t xml:space="preserve"> information criterion = -27247</w:t>
            </w:r>
            <w:r w:rsidR="00B37B95" w:rsidRPr="00474548">
              <w:rPr>
                <w:color w:val="000000"/>
                <w:kern w:val="0"/>
                <w:sz w:val="20"/>
                <w:szCs w:val="20"/>
                <w:lang w:val="en-US"/>
              </w:rPr>
              <w:t>.</w:t>
            </w:r>
            <w:r w:rsidRPr="00474548">
              <w:rPr>
                <w:color w:val="000000"/>
                <w:kern w:val="0"/>
                <w:sz w:val="20"/>
                <w:szCs w:val="20"/>
                <w:lang w:val="en-US"/>
              </w:rPr>
              <w:t>3</w:t>
            </w:r>
          </w:p>
        </w:tc>
      </w:tr>
      <w:tr w:rsidR="005B605A" w:rsidRPr="00474548" w14:paraId="1D23918C" w14:textId="77777777" w:rsidTr="00AB10E8">
        <w:trPr>
          <w:trHeight w:val="224"/>
        </w:trPr>
        <w:tc>
          <w:tcPr>
            <w:tcW w:w="0" w:type="auto"/>
            <w:gridSpan w:val="3"/>
            <w:tcBorders>
              <w:top w:val="nil"/>
              <w:left w:val="nil"/>
              <w:bottom w:val="nil"/>
              <w:right w:val="nil"/>
            </w:tcBorders>
            <w:shd w:val="clear" w:color="auto" w:fill="auto"/>
            <w:noWrap/>
            <w:vAlign w:val="center"/>
            <w:hideMark/>
          </w:tcPr>
          <w:p w14:paraId="40589CB0" w14:textId="0C3E4E7D"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Sum of square residues = 0</w:t>
            </w:r>
            <w:r w:rsidR="00B37B95" w:rsidRPr="00474548">
              <w:rPr>
                <w:color w:val="000000"/>
                <w:kern w:val="0"/>
                <w:sz w:val="20"/>
                <w:szCs w:val="20"/>
                <w:lang w:val="en-US"/>
              </w:rPr>
              <w:t>.</w:t>
            </w:r>
            <w:r w:rsidRPr="00474548">
              <w:rPr>
                <w:color w:val="000000"/>
                <w:kern w:val="0"/>
                <w:sz w:val="20"/>
                <w:szCs w:val="20"/>
                <w:lang w:val="en-US"/>
              </w:rPr>
              <w:t>572154</w:t>
            </w:r>
          </w:p>
        </w:tc>
        <w:tc>
          <w:tcPr>
            <w:tcW w:w="0" w:type="auto"/>
            <w:gridSpan w:val="3"/>
            <w:tcBorders>
              <w:top w:val="nil"/>
              <w:left w:val="nil"/>
              <w:bottom w:val="nil"/>
              <w:right w:val="nil"/>
            </w:tcBorders>
            <w:shd w:val="clear" w:color="auto" w:fill="auto"/>
            <w:noWrap/>
            <w:vAlign w:val="center"/>
            <w:hideMark/>
          </w:tcPr>
          <w:p w14:paraId="227FD538" w14:textId="4D55D3B9"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Schwarz's Bayesian Criterion = -27228</w:t>
            </w:r>
            <w:r w:rsidR="00B37B95" w:rsidRPr="00474548">
              <w:rPr>
                <w:color w:val="000000"/>
                <w:kern w:val="0"/>
                <w:sz w:val="20"/>
                <w:szCs w:val="20"/>
                <w:lang w:val="en-US"/>
              </w:rPr>
              <w:t>.</w:t>
            </w:r>
            <w:r w:rsidRPr="00474548">
              <w:rPr>
                <w:color w:val="000000"/>
                <w:kern w:val="0"/>
                <w:sz w:val="20"/>
                <w:szCs w:val="20"/>
                <w:lang w:val="en-US"/>
              </w:rPr>
              <w:t>1</w:t>
            </w:r>
          </w:p>
        </w:tc>
      </w:tr>
      <w:tr w:rsidR="005B605A" w:rsidRPr="00474548" w14:paraId="6E7EEFC8" w14:textId="77777777" w:rsidTr="00AB10E8">
        <w:trPr>
          <w:trHeight w:val="141"/>
        </w:trPr>
        <w:tc>
          <w:tcPr>
            <w:tcW w:w="0" w:type="auto"/>
            <w:gridSpan w:val="2"/>
            <w:tcBorders>
              <w:top w:val="nil"/>
              <w:left w:val="nil"/>
              <w:bottom w:val="nil"/>
              <w:right w:val="nil"/>
            </w:tcBorders>
            <w:shd w:val="clear" w:color="auto" w:fill="auto"/>
            <w:noWrap/>
            <w:vAlign w:val="center"/>
            <w:hideMark/>
          </w:tcPr>
          <w:p w14:paraId="78937748" w14:textId="70A8308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Standard error of residues = 0</w:t>
            </w:r>
            <w:r w:rsidR="00B37B95" w:rsidRPr="00474548">
              <w:rPr>
                <w:color w:val="000000"/>
                <w:kern w:val="0"/>
                <w:sz w:val="20"/>
                <w:szCs w:val="20"/>
                <w:lang w:val="en-US"/>
              </w:rPr>
              <w:t>.</w:t>
            </w:r>
            <w:r w:rsidRPr="00474548">
              <w:rPr>
                <w:color w:val="000000"/>
                <w:kern w:val="0"/>
                <w:sz w:val="20"/>
                <w:szCs w:val="20"/>
                <w:lang w:val="en-US"/>
              </w:rPr>
              <w:t>0113403</w:t>
            </w:r>
          </w:p>
        </w:tc>
        <w:tc>
          <w:tcPr>
            <w:tcW w:w="0" w:type="auto"/>
            <w:tcBorders>
              <w:top w:val="nil"/>
              <w:left w:val="nil"/>
              <w:bottom w:val="nil"/>
              <w:right w:val="nil"/>
            </w:tcBorders>
            <w:shd w:val="clear" w:color="auto" w:fill="auto"/>
            <w:noWrap/>
            <w:vAlign w:val="bottom"/>
            <w:hideMark/>
          </w:tcPr>
          <w:p w14:paraId="4C53F3AD" w14:textId="77777777" w:rsidR="005B605A" w:rsidRPr="00474548" w:rsidRDefault="005B605A" w:rsidP="008E6F8E">
            <w:pPr>
              <w:widowControl/>
              <w:suppressAutoHyphens w:val="0"/>
              <w:rPr>
                <w:rFonts w:eastAsia="Times New Roman"/>
                <w:color w:val="000000"/>
                <w:kern w:val="0"/>
                <w:sz w:val="20"/>
                <w:szCs w:val="20"/>
                <w:lang w:val="en-US"/>
              </w:rPr>
            </w:pPr>
          </w:p>
        </w:tc>
        <w:tc>
          <w:tcPr>
            <w:tcW w:w="0" w:type="auto"/>
            <w:gridSpan w:val="3"/>
            <w:tcBorders>
              <w:top w:val="nil"/>
              <w:left w:val="nil"/>
              <w:bottom w:val="nil"/>
              <w:right w:val="nil"/>
            </w:tcBorders>
            <w:shd w:val="clear" w:color="auto" w:fill="auto"/>
            <w:noWrap/>
            <w:vAlign w:val="center"/>
            <w:hideMark/>
          </w:tcPr>
          <w:p w14:paraId="4BB80AB0" w14:textId="7D1EAF44" w:rsidR="005B605A" w:rsidRPr="00474548" w:rsidRDefault="005B605A" w:rsidP="008E6F8E">
            <w:pPr>
              <w:widowControl/>
              <w:suppressAutoHyphens w:val="0"/>
              <w:rPr>
                <w:rFonts w:eastAsia="Times New Roman"/>
                <w:color w:val="000000"/>
                <w:kern w:val="0"/>
                <w:sz w:val="20"/>
                <w:szCs w:val="20"/>
                <w:lang w:val="en-US"/>
              </w:rPr>
            </w:pPr>
            <w:proofErr w:type="spellStart"/>
            <w:r w:rsidRPr="00474548">
              <w:rPr>
                <w:color w:val="000000"/>
                <w:kern w:val="0"/>
                <w:sz w:val="20"/>
                <w:szCs w:val="20"/>
                <w:lang w:val="en-US"/>
              </w:rPr>
              <w:t>Hannan</w:t>
            </w:r>
            <w:proofErr w:type="spellEnd"/>
            <w:r w:rsidRPr="00474548">
              <w:rPr>
                <w:color w:val="000000"/>
                <w:kern w:val="0"/>
                <w:sz w:val="20"/>
                <w:szCs w:val="20"/>
                <w:lang w:val="en-US"/>
              </w:rPr>
              <w:t>-Quinn Criterion = -27240</w:t>
            </w:r>
            <w:r w:rsidR="00556E37" w:rsidRPr="00474548">
              <w:rPr>
                <w:color w:val="000000"/>
                <w:kern w:val="0"/>
                <w:sz w:val="20"/>
                <w:szCs w:val="20"/>
                <w:lang w:val="en-US"/>
              </w:rPr>
              <w:t>.</w:t>
            </w:r>
            <w:r w:rsidRPr="00474548">
              <w:rPr>
                <w:color w:val="000000"/>
                <w:kern w:val="0"/>
                <w:sz w:val="20"/>
                <w:szCs w:val="20"/>
                <w:lang w:val="en-US"/>
              </w:rPr>
              <w:t>5</w:t>
            </w:r>
          </w:p>
        </w:tc>
      </w:tr>
      <w:tr w:rsidR="005B605A" w:rsidRPr="00474548" w14:paraId="3CB9D693" w14:textId="77777777" w:rsidTr="00AB10E8">
        <w:trPr>
          <w:trHeight w:val="216"/>
        </w:trPr>
        <w:tc>
          <w:tcPr>
            <w:tcW w:w="0" w:type="auto"/>
            <w:gridSpan w:val="2"/>
            <w:tcBorders>
              <w:top w:val="nil"/>
              <w:left w:val="nil"/>
              <w:bottom w:val="nil"/>
              <w:right w:val="nil"/>
            </w:tcBorders>
            <w:shd w:val="clear" w:color="auto" w:fill="auto"/>
            <w:noWrap/>
            <w:vAlign w:val="center"/>
            <w:hideMark/>
          </w:tcPr>
          <w:p w14:paraId="16C1B070" w14:textId="7F5AA074"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R</w:t>
            </w:r>
            <w:r w:rsidRPr="00474548">
              <w:rPr>
                <w:color w:val="000000"/>
                <w:kern w:val="0"/>
                <w:sz w:val="20"/>
                <w:szCs w:val="20"/>
                <w:vertAlign w:val="superscript"/>
                <w:lang w:val="en-US"/>
              </w:rPr>
              <w:t>2</w:t>
            </w:r>
            <w:r w:rsidRPr="00474548">
              <w:rPr>
                <w:color w:val="000000"/>
                <w:kern w:val="0"/>
                <w:sz w:val="20"/>
                <w:szCs w:val="20"/>
                <w:lang w:val="en-US"/>
              </w:rPr>
              <w:t xml:space="preserve"> not adjusted = 0</w:t>
            </w:r>
            <w:r w:rsidR="00B37B95" w:rsidRPr="00474548">
              <w:rPr>
                <w:color w:val="000000"/>
                <w:kern w:val="0"/>
                <w:sz w:val="20"/>
                <w:szCs w:val="20"/>
                <w:lang w:val="en-US"/>
              </w:rPr>
              <w:t>.</w:t>
            </w:r>
            <w:r w:rsidRPr="00474548">
              <w:rPr>
                <w:color w:val="000000"/>
                <w:kern w:val="0"/>
                <w:sz w:val="20"/>
                <w:szCs w:val="20"/>
                <w:lang w:val="en-US"/>
              </w:rPr>
              <w:t>657434</w:t>
            </w:r>
          </w:p>
        </w:tc>
        <w:tc>
          <w:tcPr>
            <w:tcW w:w="0" w:type="auto"/>
            <w:tcBorders>
              <w:top w:val="nil"/>
              <w:left w:val="nil"/>
              <w:bottom w:val="nil"/>
              <w:right w:val="nil"/>
            </w:tcBorders>
            <w:shd w:val="clear" w:color="auto" w:fill="auto"/>
            <w:noWrap/>
            <w:vAlign w:val="bottom"/>
            <w:hideMark/>
          </w:tcPr>
          <w:p w14:paraId="1F9A7801" w14:textId="77777777" w:rsidR="005B605A" w:rsidRPr="00474548" w:rsidRDefault="005B605A" w:rsidP="008E6F8E">
            <w:pPr>
              <w:widowControl/>
              <w:suppressAutoHyphens w:val="0"/>
              <w:rPr>
                <w:rFonts w:eastAsia="Times New Roman"/>
                <w:color w:val="000000"/>
                <w:kern w:val="0"/>
                <w:sz w:val="20"/>
                <w:szCs w:val="20"/>
                <w:lang w:val="en-US"/>
              </w:rPr>
            </w:pPr>
          </w:p>
        </w:tc>
        <w:tc>
          <w:tcPr>
            <w:tcW w:w="0" w:type="auto"/>
            <w:gridSpan w:val="3"/>
            <w:tcBorders>
              <w:top w:val="nil"/>
              <w:left w:val="nil"/>
              <w:bottom w:val="nil"/>
              <w:right w:val="nil"/>
            </w:tcBorders>
            <w:shd w:val="clear" w:color="auto" w:fill="auto"/>
            <w:noWrap/>
            <w:vAlign w:val="center"/>
            <w:hideMark/>
          </w:tcPr>
          <w:p w14:paraId="03FA8480"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LM test for autocorrelation up to order 5 -</w:t>
            </w:r>
          </w:p>
        </w:tc>
      </w:tr>
      <w:tr w:rsidR="005B605A" w:rsidRPr="00474548" w14:paraId="5A6A50C0" w14:textId="77777777" w:rsidTr="00AB10E8">
        <w:trPr>
          <w:trHeight w:val="148"/>
        </w:trPr>
        <w:tc>
          <w:tcPr>
            <w:tcW w:w="0" w:type="auto"/>
            <w:gridSpan w:val="2"/>
            <w:tcBorders>
              <w:top w:val="nil"/>
              <w:left w:val="nil"/>
              <w:bottom w:val="nil"/>
              <w:right w:val="nil"/>
            </w:tcBorders>
            <w:shd w:val="clear" w:color="auto" w:fill="auto"/>
            <w:noWrap/>
            <w:vAlign w:val="center"/>
            <w:hideMark/>
          </w:tcPr>
          <w:p w14:paraId="4069A875" w14:textId="52CA7441"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R</w:t>
            </w:r>
            <w:r w:rsidRPr="00474548">
              <w:rPr>
                <w:color w:val="000000"/>
                <w:kern w:val="0"/>
                <w:sz w:val="20"/>
                <w:szCs w:val="20"/>
                <w:vertAlign w:val="superscript"/>
                <w:lang w:val="en-US"/>
              </w:rPr>
              <w:t>2</w:t>
            </w:r>
            <w:r w:rsidRPr="00474548">
              <w:rPr>
                <w:color w:val="000000"/>
                <w:kern w:val="0"/>
                <w:sz w:val="20"/>
                <w:szCs w:val="20"/>
                <w:lang w:val="en-US"/>
              </w:rPr>
              <w:t xml:space="preserve"> adjusted = 0</w:t>
            </w:r>
            <w:r w:rsidR="00B37B95" w:rsidRPr="00474548">
              <w:rPr>
                <w:color w:val="000000"/>
                <w:kern w:val="0"/>
                <w:sz w:val="20"/>
                <w:szCs w:val="20"/>
                <w:lang w:val="en-US"/>
              </w:rPr>
              <w:t>.</w:t>
            </w:r>
            <w:r w:rsidRPr="00474548">
              <w:rPr>
                <w:color w:val="000000"/>
                <w:kern w:val="0"/>
                <w:sz w:val="20"/>
                <w:szCs w:val="20"/>
                <w:lang w:val="en-US"/>
              </w:rPr>
              <w:t>65728</w:t>
            </w:r>
          </w:p>
        </w:tc>
        <w:tc>
          <w:tcPr>
            <w:tcW w:w="0" w:type="auto"/>
            <w:tcBorders>
              <w:top w:val="nil"/>
              <w:left w:val="nil"/>
              <w:bottom w:val="nil"/>
              <w:right w:val="nil"/>
            </w:tcBorders>
            <w:shd w:val="clear" w:color="auto" w:fill="auto"/>
            <w:noWrap/>
            <w:vAlign w:val="bottom"/>
            <w:hideMark/>
          </w:tcPr>
          <w:p w14:paraId="30706F4A" w14:textId="77777777" w:rsidR="005B605A" w:rsidRPr="00474548" w:rsidRDefault="005B605A" w:rsidP="008E6F8E">
            <w:pPr>
              <w:widowControl/>
              <w:suppressAutoHyphens w:val="0"/>
              <w:rPr>
                <w:rFonts w:eastAsia="Times New Roman"/>
                <w:color w:val="000000"/>
                <w:kern w:val="0"/>
                <w:sz w:val="20"/>
                <w:szCs w:val="20"/>
                <w:lang w:val="en-US"/>
              </w:rPr>
            </w:pPr>
          </w:p>
        </w:tc>
        <w:tc>
          <w:tcPr>
            <w:tcW w:w="0" w:type="auto"/>
            <w:gridSpan w:val="3"/>
            <w:tcBorders>
              <w:top w:val="nil"/>
              <w:left w:val="nil"/>
              <w:bottom w:val="nil"/>
              <w:right w:val="nil"/>
            </w:tcBorders>
            <w:shd w:val="clear" w:color="auto" w:fill="auto"/>
            <w:noWrap/>
            <w:vAlign w:val="center"/>
            <w:hideMark/>
          </w:tcPr>
          <w:p w14:paraId="646A3B1A"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 xml:space="preserve"> Null hypotheses: without autocorrelation</w:t>
            </w:r>
          </w:p>
        </w:tc>
      </w:tr>
      <w:tr w:rsidR="005B605A" w:rsidRPr="00474548" w14:paraId="0DB4484D" w14:textId="77777777" w:rsidTr="00AB10E8">
        <w:trPr>
          <w:trHeight w:val="221"/>
        </w:trPr>
        <w:tc>
          <w:tcPr>
            <w:tcW w:w="0" w:type="auto"/>
            <w:gridSpan w:val="3"/>
            <w:tcBorders>
              <w:top w:val="nil"/>
              <w:left w:val="nil"/>
              <w:bottom w:val="nil"/>
              <w:right w:val="nil"/>
            </w:tcBorders>
            <w:shd w:val="clear" w:color="auto" w:fill="auto"/>
            <w:noWrap/>
            <w:vAlign w:val="center"/>
            <w:hideMark/>
          </w:tcPr>
          <w:p w14:paraId="3BA8BCB4"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Statistics-F (2.4449) = 4265.48 (p-value &lt; 0.00001)</w:t>
            </w:r>
          </w:p>
        </w:tc>
        <w:tc>
          <w:tcPr>
            <w:tcW w:w="0" w:type="auto"/>
            <w:gridSpan w:val="3"/>
            <w:tcBorders>
              <w:top w:val="nil"/>
              <w:left w:val="nil"/>
              <w:bottom w:val="nil"/>
              <w:right w:val="nil"/>
            </w:tcBorders>
            <w:shd w:val="clear" w:color="auto" w:fill="auto"/>
            <w:noWrap/>
            <w:vAlign w:val="center"/>
            <w:hideMark/>
          </w:tcPr>
          <w:p w14:paraId="535C0EE5" w14:textId="3BDAD408"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 xml:space="preserve"> Test statistics: LMF = 1</w:t>
            </w:r>
            <w:r w:rsidR="00B37B95" w:rsidRPr="00474548">
              <w:rPr>
                <w:color w:val="000000"/>
                <w:kern w:val="0"/>
                <w:sz w:val="20"/>
                <w:szCs w:val="20"/>
                <w:lang w:val="en-US"/>
              </w:rPr>
              <w:t>.</w:t>
            </w:r>
            <w:r w:rsidRPr="00474548">
              <w:rPr>
                <w:color w:val="000000"/>
                <w:kern w:val="0"/>
                <w:sz w:val="20"/>
                <w:szCs w:val="20"/>
                <w:lang w:val="en-US"/>
              </w:rPr>
              <w:t>17563</w:t>
            </w:r>
          </w:p>
        </w:tc>
      </w:tr>
      <w:tr w:rsidR="005B605A" w:rsidRPr="00474548" w14:paraId="2703246D" w14:textId="77777777" w:rsidTr="00AB10E8">
        <w:trPr>
          <w:trHeight w:val="140"/>
        </w:trPr>
        <w:tc>
          <w:tcPr>
            <w:tcW w:w="0" w:type="auto"/>
            <w:gridSpan w:val="3"/>
            <w:tcBorders>
              <w:top w:val="nil"/>
              <w:left w:val="nil"/>
              <w:bottom w:val="single" w:sz="8" w:space="0" w:color="auto"/>
              <w:right w:val="nil"/>
            </w:tcBorders>
            <w:shd w:val="clear" w:color="auto" w:fill="auto"/>
            <w:noWrap/>
            <w:vAlign w:val="center"/>
            <w:hideMark/>
          </w:tcPr>
          <w:p w14:paraId="58467508" w14:textId="5504F865"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Durbin-Watson Statistics = 2</w:t>
            </w:r>
            <w:r w:rsidR="00B37B95" w:rsidRPr="00474548">
              <w:rPr>
                <w:color w:val="000000"/>
                <w:kern w:val="0"/>
                <w:sz w:val="20"/>
                <w:szCs w:val="20"/>
                <w:lang w:val="en-US"/>
              </w:rPr>
              <w:t>.</w:t>
            </w:r>
            <w:r w:rsidRPr="00474548">
              <w:rPr>
                <w:color w:val="000000"/>
                <w:kern w:val="0"/>
                <w:sz w:val="20"/>
                <w:szCs w:val="20"/>
                <w:lang w:val="en-US"/>
              </w:rPr>
              <w:t>02489</w:t>
            </w:r>
          </w:p>
        </w:tc>
        <w:tc>
          <w:tcPr>
            <w:tcW w:w="0" w:type="auto"/>
            <w:gridSpan w:val="3"/>
            <w:tcBorders>
              <w:top w:val="nil"/>
              <w:left w:val="nil"/>
              <w:bottom w:val="single" w:sz="8" w:space="0" w:color="auto"/>
              <w:right w:val="nil"/>
            </w:tcBorders>
            <w:shd w:val="clear" w:color="auto" w:fill="auto"/>
            <w:noWrap/>
            <w:vAlign w:val="center"/>
            <w:hideMark/>
          </w:tcPr>
          <w:p w14:paraId="2204A38D" w14:textId="05E6F56F"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 xml:space="preserve"> </w:t>
            </w:r>
            <w:proofErr w:type="gramStart"/>
            <w:r w:rsidRPr="00474548">
              <w:rPr>
                <w:color w:val="000000"/>
                <w:kern w:val="0"/>
                <w:sz w:val="20"/>
                <w:szCs w:val="20"/>
                <w:lang w:val="en-US"/>
              </w:rPr>
              <w:t>with</w:t>
            </w:r>
            <w:proofErr w:type="gramEnd"/>
            <w:r w:rsidRPr="00474548">
              <w:rPr>
                <w:color w:val="000000"/>
                <w:kern w:val="0"/>
                <w:sz w:val="20"/>
                <w:szCs w:val="20"/>
                <w:lang w:val="en-US"/>
              </w:rPr>
              <w:t xml:space="preserve"> p-value = P(F(5</w:t>
            </w:r>
            <w:r w:rsidR="00B37B95" w:rsidRPr="00474548">
              <w:rPr>
                <w:color w:val="000000"/>
                <w:kern w:val="0"/>
                <w:sz w:val="20"/>
                <w:szCs w:val="20"/>
                <w:lang w:val="en-US"/>
              </w:rPr>
              <w:t>.</w:t>
            </w:r>
            <w:r w:rsidRPr="00474548">
              <w:rPr>
                <w:color w:val="000000"/>
                <w:kern w:val="0"/>
                <w:sz w:val="20"/>
                <w:szCs w:val="20"/>
                <w:lang w:val="en-US"/>
              </w:rPr>
              <w:t>4439) &gt; 1</w:t>
            </w:r>
            <w:r w:rsidR="00B37B95" w:rsidRPr="00474548">
              <w:rPr>
                <w:color w:val="000000"/>
                <w:kern w:val="0"/>
                <w:sz w:val="20"/>
                <w:szCs w:val="20"/>
                <w:lang w:val="en-US"/>
              </w:rPr>
              <w:t>.</w:t>
            </w:r>
            <w:r w:rsidRPr="00474548">
              <w:rPr>
                <w:color w:val="000000"/>
                <w:kern w:val="0"/>
                <w:sz w:val="20"/>
                <w:szCs w:val="20"/>
                <w:lang w:val="en-US"/>
              </w:rPr>
              <w:t>17563) = 0</w:t>
            </w:r>
            <w:r w:rsidR="00B37B95" w:rsidRPr="00474548">
              <w:rPr>
                <w:color w:val="000000"/>
                <w:kern w:val="0"/>
                <w:sz w:val="20"/>
                <w:szCs w:val="20"/>
                <w:lang w:val="en-US"/>
              </w:rPr>
              <w:t>.</w:t>
            </w:r>
            <w:r w:rsidRPr="00474548">
              <w:rPr>
                <w:color w:val="000000"/>
                <w:kern w:val="0"/>
                <w:sz w:val="20"/>
                <w:szCs w:val="20"/>
                <w:lang w:val="en-US"/>
              </w:rPr>
              <w:t>3184</w:t>
            </w:r>
          </w:p>
        </w:tc>
      </w:tr>
    </w:tbl>
    <w:p w14:paraId="3E993906" w14:textId="77777777" w:rsidR="005B605A" w:rsidRPr="00474548" w:rsidRDefault="005B605A" w:rsidP="008E6F8E">
      <w:pPr>
        <w:rPr>
          <w:sz w:val="22"/>
          <w:szCs w:val="22"/>
          <w:lang w:val="en-US"/>
        </w:rPr>
      </w:pPr>
    </w:p>
    <w:p w14:paraId="72417CD8" w14:textId="1FA34BA7" w:rsidR="005B605A" w:rsidRPr="00474548" w:rsidRDefault="005B605A" w:rsidP="008E6F8E">
      <w:pPr>
        <w:pStyle w:val="Subtitle"/>
        <w:rPr>
          <w:rFonts w:ascii="Times New Roman" w:hAnsi="Times New Roman"/>
          <w:sz w:val="22"/>
          <w:szCs w:val="22"/>
          <w:lang w:val="en-US"/>
        </w:rPr>
      </w:pPr>
      <w:bookmarkStart w:id="37" w:name="_Toc391473736"/>
      <w:r w:rsidRPr="00474548">
        <w:rPr>
          <w:rFonts w:ascii="Times New Roman" w:hAnsi="Times New Roman"/>
          <w:sz w:val="22"/>
          <w:szCs w:val="22"/>
          <w:lang w:val="en-US"/>
        </w:rPr>
        <w:t>4.6.3 Other Significant Events Type 3: Low Intensity</w:t>
      </w:r>
      <w:bookmarkEnd w:id="37"/>
    </w:p>
    <w:p w14:paraId="555F4FB2" w14:textId="2874F78E" w:rsidR="005B605A" w:rsidRPr="00474548" w:rsidRDefault="00A9583B" w:rsidP="008E6F8E">
      <w:pPr>
        <w:pStyle w:val="ListParagraph"/>
        <w:ind w:left="0" w:firstLine="720"/>
        <w:jc w:val="both"/>
        <w:rPr>
          <w:color w:val="000000"/>
          <w:sz w:val="22"/>
          <w:szCs w:val="22"/>
          <w:lang w:val="en-US"/>
        </w:rPr>
      </w:pPr>
      <w:r w:rsidRPr="00474548">
        <w:rPr>
          <w:sz w:val="22"/>
          <w:szCs w:val="22"/>
          <w:lang w:val="en-US"/>
        </w:rPr>
        <w:t xml:space="preserve">The </w:t>
      </w:r>
      <w:r w:rsidR="008D3DB1" w:rsidRPr="00474548">
        <w:rPr>
          <w:i/>
          <w:sz w:val="22"/>
          <w:szCs w:val="22"/>
          <w:lang w:val="en-US"/>
        </w:rPr>
        <w:t>Dummy</w:t>
      </w:r>
      <w:r w:rsidR="008D3DB1" w:rsidRPr="00474548">
        <w:rPr>
          <w:sz w:val="22"/>
          <w:szCs w:val="22"/>
          <w:lang w:val="en-US"/>
        </w:rPr>
        <w:t xml:space="preserve"> </w:t>
      </w:r>
      <w:r w:rsidRPr="00474548">
        <w:rPr>
          <w:sz w:val="22"/>
          <w:szCs w:val="22"/>
          <w:lang w:val="en-US"/>
        </w:rPr>
        <w:t xml:space="preserve">variable for </w:t>
      </w:r>
      <w:r w:rsidR="008D3DB1" w:rsidRPr="00474548">
        <w:rPr>
          <w:sz w:val="22"/>
          <w:szCs w:val="22"/>
          <w:lang w:val="en-US"/>
        </w:rPr>
        <w:t>Other Significant Events Type 3 includes five structural breaks</w:t>
      </w:r>
      <w:r w:rsidR="008D3DB1" w:rsidRPr="00474548">
        <w:rPr>
          <w:color w:val="000000"/>
          <w:sz w:val="22"/>
          <w:szCs w:val="22"/>
          <w:lang w:val="en-US"/>
        </w:rPr>
        <w:t>. The first structural break refers to Ordinance 267/1995. The second and third structural break</w:t>
      </w:r>
      <w:r w:rsidRPr="00474548">
        <w:rPr>
          <w:color w:val="000000"/>
          <w:sz w:val="22"/>
          <w:szCs w:val="22"/>
          <w:lang w:val="en-US"/>
        </w:rPr>
        <w:t>s</w:t>
      </w:r>
      <w:r w:rsidR="008D3DB1" w:rsidRPr="00474548">
        <w:rPr>
          <w:color w:val="000000"/>
          <w:sz w:val="22"/>
          <w:szCs w:val="22"/>
          <w:lang w:val="en-US"/>
        </w:rPr>
        <w:t xml:space="preserve"> refer to </w:t>
      </w:r>
      <w:r w:rsidRPr="00474548">
        <w:rPr>
          <w:color w:val="000000"/>
          <w:sz w:val="22"/>
          <w:szCs w:val="22"/>
          <w:lang w:val="en-US"/>
        </w:rPr>
        <w:t xml:space="preserve">the </w:t>
      </w:r>
      <w:r w:rsidR="008D3DB1" w:rsidRPr="00474548">
        <w:rPr>
          <w:color w:val="000000"/>
          <w:sz w:val="22"/>
          <w:szCs w:val="22"/>
          <w:lang w:val="en-US"/>
        </w:rPr>
        <w:t xml:space="preserve">Resolution 273/1998 of </w:t>
      </w:r>
      <w:r w:rsidRPr="00474548">
        <w:rPr>
          <w:color w:val="000000"/>
          <w:sz w:val="22"/>
          <w:szCs w:val="22"/>
          <w:lang w:val="en-US"/>
        </w:rPr>
        <w:t>26/08/1998</w:t>
      </w:r>
      <w:r w:rsidR="008D3DB1" w:rsidRPr="00474548">
        <w:rPr>
          <w:color w:val="000000"/>
          <w:sz w:val="22"/>
          <w:szCs w:val="22"/>
          <w:lang w:val="en-US"/>
        </w:rPr>
        <w:t xml:space="preserve"> and the Ministerial Decree 281/1998, respectively. </w:t>
      </w:r>
      <w:r w:rsidRPr="00474548">
        <w:rPr>
          <w:color w:val="000000"/>
          <w:sz w:val="22"/>
          <w:szCs w:val="22"/>
          <w:lang w:val="en-US"/>
        </w:rPr>
        <w:t>T</w:t>
      </w:r>
      <w:r w:rsidR="008D3DB1" w:rsidRPr="00474548">
        <w:rPr>
          <w:color w:val="000000"/>
          <w:sz w:val="22"/>
          <w:szCs w:val="22"/>
          <w:lang w:val="en-US"/>
        </w:rPr>
        <w:t>he fourth and fifth structural break</w:t>
      </w:r>
      <w:r w:rsidR="00773634" w:rsidRPr="00474548">
        <w:rPr>
          <w:color w:val="000000"/>
          <w:sz w:val="22"/>
          <w:szCs w:val="22"/>
          <w:lang w:val="en-US"/>
        </w:rPr>
        <w:t>s</w:t>
      </w:r>
      <w:r w:rsidR="008D3DB1" w:rsidRPr="00474548">
        <w:rPr>
          <w:color w:val="000000"/>
          <w:sz w:val="22"/>
          <w:szCs w:val="22"/>
          <w:lang w:val="en-US"/>
        </w:rPr>
        <w:t xml:space="preserve"> </w:t>
      </w:r>
      <w:r w:rsidR="00773634" w:rsidRPr="00474548">
        <w:rPr>
          <w:color w:val="000000"/>
          <w:sz w:val="22"/>
          <w:szCs w:val="22"/>
          <w:lang w:val="en-US"/>
        </w:rPr>
        <w:t xml:space="preserve">refer to </w:t>
      </w:r>
      <w:r w:rsidR="008D3DB1" w:rsidRPr="00474548">
        <w:rPr>
          <w:color w:val="000000"/>
          <w:sz w:val="22"/>
          <w:szCs w:val="22"/>
          <w:lang w:val="en-US"/>
        </w:rPr>
        <w:t xml:space="preserve">the Energy Crisis Management Resolution - GCE 102/2002 and </w:t>
      </w:r>
      <w:r w:rsidR="00773634" w:rsidRPr="00474548">
        <w:rPr>
          <w:color w:val="000000"/>
          <w:sz w:val="22"/>
          <w:szCs w:val="22"/>
          <w:lang w:val="en-US"/>
        </w:rPr>
        <w:t xml:space="preserve">the </w:t>
      </w:r>
      <w:r w:rsidR="007715D2" w:rsidRPr="00474548">
        <w:rPr>
          <w:color w:val="000000"/>
          <w:sz w:val="22"/>
          <w:szCs w:val="22"/>
          <w:lang w:val="en-US"/>
        </w:rPr>
        <w:t xml:space="preserve">ANEEL </w:t>
      </w:r>
      <w:r w:rsidR="008D3DB1" w:rsidRPr="00474548">
        <w:rPr>
          <w:color w:val="000000"/>
          <w:sz w:val="22"/>
          <w:szCs w:val="22"/>
          <w:lang w:val="en-US"/>
        </w:rPr>
        <w:t>Resolution 459/2003</w:t>
      </w:r>
      <w:r w:rsidR="00773634" w:rsidRPr="00474548">
        <w:rPr>
          <w:color w:val="000000"/>
          <w:sz w:val="22"/>
          <w:szCs w:val="22"/>
          <w:lang w:val="en-US"/>
        </w:rPr>
        <w:t>, respectively</w:t>
      </w:r>
      <w:r w:rsidR="008D3DB1" w:rsidRPr="00474548">
        <w:rPr>
          <w:color w:val="000000"/>
          <w:sz w:val="22"/>
          <w:szCs w:val="22"/>
          <w:lang w:val="en-US"/>
        </w:rPr>
        <w:t>.</w:t>
      </w:r>
      <w:r w:rsidR="00DA0684" w:rsidRPr="00474548">
        <w:rPr>
          <w:color w:val="000000"/>
          <w:sz w:val="22"/>
          <w:szCs w:val="22"/>
          <w:lang w:val="en-US"/>
        </w:rPr>
        <w:t xml:space="preserve"> </w:t>
      </w:r>
      <w:r w:rsidR="008D3DB1" w:rsidRPr="00474548">
        <w:rPr>
          <w:color w:val="000000"/>
          <w:sz w:val="22"/>
          <w:szCs w:val="22"/>
          <w:lang w:val="en-US"/>
        </w:rPr>
        <w:t>T</w:t>
      </w:r>
      <w:r w:rsidR="009F49FD" w:rsidRPr="00474548">
        <w:rPr>
          <w:color w:val="000000"/>
          <w:sz w:val="22"/>
          <w:szCs w:val="22"/>
          <w:lang w:val="en-US"/>
        </w:rPr>
        <w:t>he results are shown in Table 13</w:t>
      </w:r>
      <w:r w:rsidR="008D3DB1" w:rsidRPr="00474548">
        <w:rPr>
          <w:color w:val="000000"/>
          <w:sz w:val="22"/>
          <w:szCs w:val="22"/>
          <w:lang w:val="en-US"/>
        </w:rPr>
        <w:t>.</w:t>
      </w:r>
    </w:p>
    <w:p w14:paraId="448148CA" w14:textId="772FCEFE" w:rsidR="005B605A" w:rsidRPr="00474548" w:rsidRDefault="001809F1" w:rsidP="001809F1">
      <w:pPr>
        <w:ind w:firstLine="709"/>
        <w:jc w:val="both"/>
        <w:rPr>
          <w:color w:val="000000"/>
          <w:sz w:val="22"/>
          <w:szCs w:val="22"/>
          <w:lang w:val="en-US"/>
        </w:rPr>
      </w:pPr>
      <w:r w:rsidRPr="00474548">
        <w:rPr>
          <w:sz w:val="22"/>
          <w:szCs w:val="22"/>
          <w:lang w:val="en-US"/>
        </w:rPr>
        <w:t>The standardized beta coefficient displays a variation of just 10% level compared to the market risk. The dummy variable, indicative of the regulatory risk for the Other Significant Events family Type 3 of low regulator intensity, shows a 1.5% impact on the stock risks comprising the sector index</w:t>
      </w:r>
      <w:r w:rsidRPr="00474548">
        <w:rPr>
          <w:color w:val="000000"/>
          <w:sz w:val="22"/>
          <w:szCs w:val="22"/>
          <w:lang w:val="en-US"/>
        </w:rPr>
        <w:t>. These results support the idea that low regulatory intensity content events do not significantly affect the stock risks in the Brazilian electricity sector.</w:t>
      </w:r>
    </w:p>
    <w:p w14:paraId="5967E482" w14:textId="77777777" w:rsidR="003B4CB2" w:rsidRPr="00474548" w:rsidRDefault="003B4CB2" w:rsidP="001809F1">
      <w:pPr>
        <w:ind w:firstLine="709"/>
        <w:jc w:val="both"/>
        <w:rPr>
          <w:color w:val="000000"/>
          <w:sz w:val="22"/>
          <w:szCs w:val="22"/>
          <w:lang w:val="en-US"/>
        </w:rPr>
      </w:pPr>
    </w:p>
    <w:p w14:paraId="2ED24127" w14:textId="69E2C996" w:rsidR="005B605A" w:rsidRPr="00474548" w:rsidRDefault="009F49FD" w:rsidP="008E6F8E">
      <w:pPr>
        <w:pStyle w:val="ListParagraph"/>
        <w:ind w:left="0"/>
        <w:jc w:val="both"/>
        <w:rPr>
          <w:rFonts w:eastAsia="Times New Roman"/>
          <w:color w:val="000000"/>
          <w:sz w:val="22"/>
          <w:szCs w:val="22"/>
          <w:lang w:val="en-US"/>
        </w:rPr>
      </w:pPr>
      <w:r w:rsidRPr="00474548">
        <w:rPr>
          <w:color w:val="000000"/>
          <w:sz w:val="22"/>
          <w:szCs w:val="22"/>
          <w:lang w:val="en-US"/>
        </w:rPr>
        <w:t>Table 13</w:t>
      </w:r>
      <w:r w:rsidR="005B605A" w:rsidRPr="00474548">
        <w:rPr>
          <w:color w:val="000000"/>
          <w:sz w:val="22"/>
          <w:szCs w:val="22"/>
          <w:lang w:val="en-US"/>
        </w:rPr>
        <w:t>:</w:t>
      </w:r>
      <w:r w:rsidR="005B605A" w:rsidRPr="00474548">
        <w:rPr>
          <w:sz w:val="22"/>
          <w:szCs w:val="22"/>
          <w:lang w:val="en-US"/>
        </w:rPr>
        <w:t xml:space="preserve"> Other Significant Events Type 3 of low intensity</w:t>
      </w:r>
    </w:p>
    <w:tbl>
      <w:tblPr>
        <w:tblW w:w="5000" w:type="pct"/>
        <w:tblCellMar>
          <w:left w:w="70" w:type="dxa"/>
          <w:right w:w="70" w:type="dxa"/>
        </w:tblCellMar>
        <w:tblLook w:val="04A0" w:firstRow="1" w:lastRow="0" w:firstColumn="1" w:lastColumn="0" w:noHBand="0" w:noVBand="1"/>
      </w:tblPr>
      <w:tblGrid>
        <w:gridCol w:w="2471"/>
        <w:gridCol w:w="1400"/>
        <w:gridCol w:w="1301"/>
        <w:gridCol w:w="1259"/>
        <w:gridCol w:w="1216"/>
        <w:gridCol w:w="1513"/>
      </w:tblGrid>
      <w:tr w:rsidR="005B605A" w:rsidRPr="00474548" w14:paraId="12B4E550" w14:textId="77777777" w:rsidTr="00AB10E8">
        <w:trPr>
          <w:trHeight w:val="509"/>
        </w:trPr>
        <w:tc>
          <w:tcPr>
            <w:tcW w:w="1349" w:type="pct"/>
            <w:tcBorders>
              <w:top w:val="single" w:sz="8" w:space="0" w:color="auto"/>
              <w:left w:val="nil"/>
              <w:bottom w:val="single" w:sz="8" w:space="0" w:color="auto"/>
              <w:right w:val="nil"/>
            </w:tcBorders>
            <w:shd w:val="clear" w:color="000000" w:fill="D9D9D9"/>
            <w:vAlign w:val="center"/>
            <w:hideMark/>
          </w:tcPr>
          <w:p w14:paraId="531A51DA" w14:textId="77777777" w:rsidR="005B605A" w:rsidRPr="00474548" w:rsidRDefault="005B605A" w:rsidP="008E6F8E">
            <w:pPr>
              <w:widowControl/>
              <w:suppressAutoHyphens w:val="0"/>
              <w:jc w:val="center"/>
              <w:rPr>
                <w:rFonts w:eastAsia="Times New Roman"/>
                <w:i/>
                <w:iCs/>
                <w:color w:val="000000"/>
                <w:kern w:val="0"/>
                <w:sz w:val="20"/>
                <w:szCs w:val="20"/>
                <w:lang w:val="en-US"/>
              </w:rPr>
            </w:pPr>
            <w:r w:rsidRPr="00474548">
              <w:rPr>
                <w:i/>
                <w:color w:val="000000"/>
                <w:kern w:val="0"/>
                <w:sz w:val="20"/>
                <w:szCs w:val="20"/>
                <w:lang w:val="en-US"/>
              </w:rPr>
              <w:t>Variable</w:t>
            </w:r>
          </w:p>
        </w:tc>
        <w:tc>
          <w:tcPr>
            <w:tcW w:w="763" w:type="pct"/>
            <w:tcBorders>
              <w:top w:val="single" w:sz="8" w:space="0" w:color="auto"/>
              <w:left w:val="nil"/>
              <w:bottom w:val="single" w:sz="8" w:space="0" w:color="auto"/>
              <w:right w:val="nil"/>
            </w:tcBorders>
            <w:shd w:val="clear" w:color="000000" w:fill="D9D9D9"/>
            <w:vAlign w:val="center"/>
            <w:hideMark/>
          </w:tcPr>
          <w:p w14:paraId="33C30C7C" w14:textId="77777777" w:rsidR="005B605A" w:rsidRPr="00474548" w:rsidRDefault="005B605A" w:rsidP="008E6F8E">
            <w:pPr>
              <w:widowControl/>
              <w:suppressAutoHyphens w:val="0"/>
              <w:jc w:val="center"/>
              <w:rPr>
                <w:rFonts w:eastAsia="Times New Roman"/>
                <w:i/>
                <w:iCs/>
                <w:color w:val="000000"/>
                <w:kern w:val="0"/>
                <w:sz w:val="20"/>
                <w:szCs w:val="20"/>
                <w:lang w:val="en-US"/>
              </w:rPr>
            </w:pPr>
            <w:r w:rsidRPr="00474548">
              <w:rPr>
                <w:i/>
                <w:color w:val="000000"/>
                <w:kern w:val="0"/>
                <w:sz w:val="20"/>
                <w:szCs w:val="20"/>
                <w:lang w:val="en-US"/>
              </w:rPr>
              <w:t>Coefficient</w:t>
            </w:r>
          </w:p>
        </w:tc>
        <w:tc>
          <w:tcPr>
            <w:tcW w:w="710" w:type="pct"/>
            <w:tcBorders>
              <w:top w:val="single" w:sz="8" w:space="0" w:color="auto"/>
              <w:left w:val="nil"/>
              <w:bottom w:val="single" w:sz="8" w:space="0" w:color="auto"/>
              <w:right w:val="nil"/>
            </w:tcBorders>
            <w:shd w:val="clear" w:color="000000" w:fill="D9D9D9"/>
            <w:vAlign w:val="center"/>
            <w:hideMark/>
          </w:tcPr>
          <w:p w14:paraId="5CC2C74A" w14:textId="77777777" w:rsidR="005B605A" w:rsidRPr="00474548" w:rsidRDefault="005B605A" w:rsidP="008E6F8E">
            <w:pPr>
              <w:widowControl/>
              <w:suppressAutoHyphens w:val="0"/>
              <w:jc w:val="center"/>
              <w:rPr>
                <w:rFonts w:eastAsia="Times New Roman"/>
                <w:i/>
                <w:iCs/>
                <w:color w:val="000000"/>
                <w:kern w:val="0"/>
                <w:sz w:val="20"/>
                <w:szCs w:val="20"/>
                <w:lang w:val="en-US"/>
              </w:rPr>
            </w:pPr>
            <w:r w:rsidRPr="00474548">
              <w:rPr>
                <w:i/>
                <w:color w:val="000000"/>
                <w:kern w:val="0"/>
                <w:sz w:val="20"/>
                <w:szCs w:val="20"/>
                <w:lang w:val="en-US"/>
              </w:rPr>
              <w:t>Standard Error</w:t>
            </w:r>
          </w:p>
        </w:tc>
        <w:tc>
          <w:tcPr>
            <w:tcW w:w="687" w:type="pct"/>
            <w:tcBorders>
              <w:top w:val="single" w:sz="8" w:space="0" w:color="auto"/>
              <w:left w:val="nil"/>
              <w:bottom w:val="single" w:sz="8" w:space="0" w:color="auto"/>
              <w:right w:val="nil"/>
            </w:tcBorders>
            <w:shd w:val="clear" w:color="000000" w:fill="D9D9D9"/>
            <w:vAlign w:val="center"/>
            <w:hideMark/>
          </w:tcPr>
          <w:p w14:paraId="37643E58" w14:textId="01A6CD46" w:rsidR="005B605A" w:rsidRPr="00474548" w:rsidRDefault="005B605A" w:rsidP="008E6F8E">
            <w:pPr>
              <w:widowControl/>
              <w:suppressAutoHyphens w:val="0"/>
              <w:jc w:val="center"/>
              <w:rPr>
                <w:rFonts w:eastAsia="Times New Roman"/>
                <w:i/>
                <w:color w:val="000000"/>
                <w:kern w:val="0"/>
                <w:sz w:val="20"/>
                <w:szCs w:val="20"/>
                <w:lang w:val="en-US"/>
              </w:rPr>
            </w:pPr>
            <w:r w:rsidRPr="00474548">
              <w:rPr>
                <w:i/>
                <w:color w:val="000000"/>
                <w:kern w:val="0"/>
                <w:sz w:val="20"/>
                <w:szCs w:val="20"/>
                <w:lang w:val="en-US"/>
              </w:rPr>
              <w:t xml:space="preserve">Standardized </w:t>
            </w:r>
            <w:r w:rsidR="00A8308C" w:rsidRPr="00474548">
              <w:rPr>
                <w:i/>
                <w:color w:val="000000"/>
                <w:kern w:val="0"/>
                <w:sz w:val="20"/>
                <w:szCs w:val="20"/>
                <w:lang w:val="en-US"/>
              </w:rPr>
              <w:t>B</w:t>
            </w:r>
            <w:r w:rsidRPr="00474548">
              <w:rPr>
                <w:i/>
                <w:color w:val="000000"/>
                <w:kern w:val="0"/>
                <w:sz w:val="20"/>
                <w:szCs w:val="20"/>
                <w:lang w:val="en-US"/>
              </w:rPr>
              <w:t>eta</w:t>
            </w:r>
          </w:p>
        </w:tc>
        <w:tc>
          <w:tcPr>
            <w:tcW w:w="664" w:type="pct"/>
            <w:tcBorders>
              <w:top w:val="single" w:sz="8" w:space="0" w:color="auto"/>
              <w:left w:val="nil"/>
              <w:bottom w:val="single" w:sz="8" w:space="0" w:color="auto"/>
              <w:right w:val="nil"/>
            </w:tcBorders>
            <w:shd w:val="clear" w:color="000000" w:fill="D9D9D9"/>
            <w:vAlign w:val="center"/>
            <w:hideMark/>
          </w:tcPr>
          <w:p w14:paraId="1BB8955B" w14:textId="568CF49A" w:rsidR="005B605A" w:rsidRPr="00474548" w:rsidRDefault="00BC0B64" w:rsidP="008E6F8E">
            <w:pPr>
              <w:widowControl/>
              <w:suppressAutoHyphens w:val="0"/>
              <w:jc w:val="center"/>
              <w:rPr>
                <w:rFonts w:eastAsia="Times New Roman"/>
                <w:i/>
                <w:iCs/>
                <w:color w:val="000000"/>
                <w:kern w:val="0"/>
                <w:sz w:val="20"/>
                <w:szCs w:val="20"/>
                <w:lang w:val="en-US"/>
              </w:rPr>
            </w:pPr>
            <w:proofErr w:type="gramStart"/>
            <w:r w:rsidRPr="00474548">
              <w:rPr>
                <w:i/>
                <w:color w:val="000000"/>
                <w:kern w:val="0"/>
                <w:sz w:val="20"/>
                <w:szCs w:val="20"/>
                <w:lang w:val="en-US"/>
              </w:rPr>
              <w:t>t</w:t>
            </w:r>
            <w:proofErr w:type="gramEnd"/>
            <w:r w:rsidRPr="00474548">
              <w:rPr>
                <w:i/>
                <w:color w:val="000000"/>
                <w:kern w:val="0"/>
                <w:sz w:val="20"/>
                <w:szCs w:val="20"/>
                <w:lang w:val="en-US"/>
              </w:rPr>
              <w:t>-</w:t>
            </w:r>
            <w:r w:rsidR="005B605A" w:rsidRPr="00474548">
              <w:rPr>
                <w:i/>
                <w:color w:val="000000"/>
                <w:kern w:val="0"/>
                <w:sz w:val="20"/>
                <w:szCs w:val="20"/>
                <w:lang w:val="en-US"/>
              </w:rPr>
              <w:t>statistics</w:t>
            </w:r>
          </w:p>
        </w:tc>
        <w:tc>
          <w:tcPr>
            <w:tcW w:w="826" w:type="pct"/>
            <w:tcBorders>
              <w:top w:val="single" w:sz="8" w:space="0" w:color="auto"/>
              <w:left w:val="nil"/>
              <w:bottom w:val="single" w:sz="8" w:space="0" w:color="auto"/>
              <w:right w:val="nil"/>
            </w:tcBorders>
            <w:shd w:val="clear" w:color="000000" w:fill="D9D9D9"/>
            <w:vAlign w:val="center"/>
            <w:hideMark/>
          </w:tcPr>
          <w:p w14:paraId="1346804E" w14:textId="77777777" w:rsidR="005B605A" w:rsidRPr="00474548" w:rsidRDefault="005B605A" w:rsidP="008E6F8E">
            <w:pPr>
              <w:widowControl/>
              <w:suppressAutoHyphens w:val="0"/>
              <w:jc w:val="center"/>
              <w:rPr>
                <w:rFonts w:eastAsia="Times New Roman"/>
                <w:i/>
                <w:iCs/>
                <w:color w:val="000000"/>
                <w:kern w:val="0"/>
                <w:sz w:val="20"/>
                <w:szCs w:val="20"/>
                <w:lang w:val="en-US"/>
              </w:rPr>
            </w:pPr>
            <w:proofErr w:type="gramStart"/>
            <w:r w:rsidRPr="00474548">
              <w:rPr>
                <w:i/>
                <w:color w:val="000000"/>
                <w:kern w:val="0"/>
                <w:sz w:val="20"/>
                <w:szCs w:val="20"/>
                <w:lang w:val="en-US"/>
              </w:rPr>
              <w:t>p</w:t>
            </w:r>
            <w:proofErr w:type="gramEnd"/>
            <w:r w:rsidRPr="00474548">
              <w:rPr>
                <w:i/>
                <w:color w:val="000000"/>
                <w:kern w:val="0"/>
                <w:sz w:val="20"/>
                <w:szCs w:val="20"/>
                <w:lang w:val="en-US"/>
              </w:rPr>
              <w:t>-value</w:t>
            </w:r>
          </w:p>
        </w:tc>
      </w:tr>
      <w:tr w:rsidR="005B605A" w:rsidRPr="00474548" w14:paraId="4A4D8FEE" w14:textId="77777777" w:rsidTr="00AB10E8">
        <w:trPr>
          <w:trHeight w:val="133"/>
        </w:trPr>
        <w:tc>
          <w:tcPr>
            <w:tcW w:w="1349" w:type="pct"/>
            <w:tcBorders>
              <w:top w:val="nil"/>
              <w:left w:val="nil"/>
              <w:bottom w:val="nil"/>
              <w:right w:val="nil"/>
            </w:tcBorders>
            <w:shd w:val="clear" w:color="auto" w:fill="auto"/>
            <w:vAlign w:val="center"/>
            <w:hideMark/>
          </w:tcPr>
          <w:p w14:paraId="40CDF1A6"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Const.</w:t>
            </w:r>
          </w:p>
        </w:tc>
        <w:tc>
          <w:tcPr>
            <w:tcW w:w="763" w:type="pct"/>
            <w:tcBorders>
              <w:top w:val="nil"/>
              <w:left w:val="nil"/>
              <w:bottom w:val="nil"/>
              <w:right w:val="nil"/>
            </w:tcBorders>
            <w:shd w:val="clear" w:color="auto" w:fill="auto"/>
            <w:vAlign w:val="center"/>
            <w:hideMark/>
          </w:tcPr>
          <w:p w14:paraId="37BC4100"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0.000205183</w:t>
            </w:r>
          </w:p>
        </w:tc>
        <w:tc>
          <w:tcPr>
            <w:tcW w:w="710" w:type="pct"/>
            <w:tcBorders>
              <w:top w:val="nil"/>
              <w:left w:val="nil"/>
              <w:bottom w:val="nil"/>
              <w:right w:val="nil"/>
            </w:tcBorders>
            <w:shd w:val="clear" w:color="auto" w:fill="auto"/>
            <w:vAlign w:val="center"/>
            <w:hideMark/>
          </w:tcPr>
          <w:p w14:paraId="4C1672B8"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0.000170229</w:t>
            </w:r>
          </w:p>
        </w:tc>
        <w:tc>
          <w:tcPr>
            <w:tcW w:w="687" w:type="pct"/>
            <w:tcBorders>
              <w:top w:val="nil"/>
              <w:left w:val="nil"/>
              <w:bottom w:val="nil"/>
              <w:right w:val="nil"/>
            </w:tcBorders>
            <w:shd w:val="clear" w:color="auto" w:fill="auto"/>
            <w:vAlign w:val="center"/>
            <w:hideMark/>
          </w:tcPr>
          <w:p w14:paraId="143BCEE5" w14:textId="77777777" w:rsidR="005B605A" w:rsidRPr="00474548" w:rsidRDefault="005B605A" w:rsidP="008E6F8E">
            <w:pPr>
              <w:widowControl/>
              <w:suppressAutoHyphens w:val="0"/>
              <w:rPr>
                <w:rFonts w:eastAsia="Times New Roman"/>
                <w:color w:val="000000"/>
                <w:kern w:val="0"/>
                <w:sz w:val="20"/>
                <w:szCs w:val="20"/>
                <w:lang w:val="en-US"/>
              </w:rPr>
            </w:pPr>
          </w:p>
        </w:tc>
        <w:tc>
          <w:tcPr>
            <w:tcW w:w="664" w:type="pct"/>
            <w:tcBorders>
              <w:top w:val="nil"/>
              <w:left w:val="nil"/>
              <w:bottom w:val="nil"/>
              <w:right w:val="nil"/>
            </w:tcBorders>
            <w:shd w:val="clear" w:color="auto" w:fill="auto"/>
            <w:vAlign w:val="center"/>
            <w:hideMark/>
          </w:tcPr>
          <w:p w14:paraId="557CD6B2"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1.205</w:t>
            </w:r>
          </w:p>
        </w:tc>
        <w:tc>
          <w:tcPr>
            <w:tcW w:w="826" w:type="pct"/>
            <w:tcBorders>
              <w:top w:val="nil"/>
              <w:left w:val="nil"/>
              <w:bottom w:val="nil"/>
              <w:right w:val="nil"/>
            </w:tcBorders>
            <w:shd w:val="clear" w:color="auto" w:fill="auto"/>
            <w:vAlign w:val="center"/>
            <w:hideMark/>
          </w:tcPr>
          <w:p w14:paraId="31454AA6"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0.22814</w:t>
            </w:r>
          </w:p>
        </w:tc>
      </w:tr>
      <w:tr w:rsidR="005B605A" w:rsidRPr="00474548" w14:paraId="1D4E9D2E" w14:textId="77777777" w:rsidTr="00AB10E8">
        <w:trPr>
          <w:trHeight w:val="313"/>
        </w:trPr>
        <w:tc>
          <w:tcPr>
            <w:tcW w:w="1349" w:type="pct"/>
            <w:tcBorders>
              <w:top w:val="nil"/>
              <w:left w:val="nil"/>
              <w:bottom w:val="nil"/>
              <w:right w:val="nil"/>
            </w:tcBorders>
            <w:shd w:val="clear" w:color="auto" w:fill="auto"/>
            <w:vAlign w:val="center"/>
            <w:hideMark/>
          </w:tcPr>
          <w:p w14:paraId="1C977E32"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RIBOVCORR</w:t>
            </w:r>
          </w:p>
        </w:tc>
        <w:tc>
          <w:tcPr>
            <w:tcW w:w="763" w:type="pct"/>
            <w:tcBorders>
              <w:top w:val="nil"/>
              <w:left w:val="nil"/>
              <w:bottom w:val="nil"/>
              <w:right w:val="nil"/>
            </w:tcBorders>
            <w:shd w:val="clear" w:color="auto" w:fill="auto"/>
            <w:vAlign w:val="center"/>
            <w:hideMark/>
          </w:tcPr>
          <w:p w14:paraId="7AD10ABE"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0.708551</w:t>
            </w:r>
          </w:p>
        </w:tc>
        <w:tc>
          <w:tcPr>
            <w:tcW w:w="710" w:type="pct"/>
            <w:tcBorders>
              <w:top w:val="nil"/>
              <w:left w:val="nil"/>
              <w:bottom w:val="nil"/>
              <w:right w:val="nil"/>
            </w:tcBorders>
            <w:shd w:val="clear" w:color="auto" w:fill="auto"/>
            <w:vAlign w:val="center"/>
            <w:hideMark/>
          </w:tcPr>
          <w:p w14:paraId="40961F46"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0.00772868</w:t>
            </w:r>
          </w:p>
        </w:tc>
        <w:tc>
          <w:tcPr>
            <w:tcW w:w="687" w:type="pct"/>
            <w:tcBorders>
              <w:top w:val="nil"/>
              <w:left w:val="nil"/>
              <w:bottom w:val="nil"/>
              <w:right w:val="nil"/>
            </w:tcBorders>
            <w:shd w:val="clear" w:color="auto" w:fill="auto"/>
            <w:vAlign w:val="center"/>
            <w:hideMark/>
          </w:tcPr>
          <w:p w14:paraId="5A3A8AD5"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0.809</w:t>
            </w:r>
          </w:p>
        </w:tc>
        <w:tc>
          <w:tcPr>
            <w:tcW w:w="664" w:type="pct"/>
            <w:tcBorders>
              <w:top w:val="nil"/>
              <w:left w:val="nil"/>
              <w:bottom w:val="nil"/>
              <w:right w:val="nil"/>
            </w:tcBorders>
            <w:shd w:val="clear" w:color="auto" w:fill="auto"/>
            <w:vAlign w:val="center"/>
            <w:hideMark/>
          </w:tcPr>
          <w:p w14:paraId="12ECF562"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91.678</w:t>
            </w:r>
          </w:p>
        </w:tc>
        <w:tc>
          <w:tcPr>
            <w:tcW w:w="826" w:type="pct"/>
            <w:tcBorders>
              <w:top w:val="nil"/>
              <w:left w:val="nil"/>
              <w:bottom w:val="nil"/>
              <w:right w:val="nil"/>
            </w:tcBorders>
            <w:shd w:val="clear" w:color="auto" w:fill="auto"/>
            <w:vAlign w:val="center"/>
            <w:hideMark/>
          </w:tcPr>
          <w:p w14:paraId="278E6893" w14:textId="5DDF360F"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&lt;0</w:t>
            </w:r>
            <w:r w:rsidR="00BC0B64" w:rsidRPr="00474548">
              <w:rPr>
                <w:color w:val="000000"/>
                <w:kern w:val="0"/>
                <w:sz w:val="20"/>
                <w:szCs w:val="20"/>
                <w:lang w:val="en-US"/>
              </w:rPr>
              <w:t>.</w:t>
            </w:r>
            <w:r w:rsidRPr="00474548">
              <w:rPr>
                <w:color w:val="000000"/>
                <w:kern w:val="0"/>
                <w:sz w:val="20"/>
                <w:szCs w:val="20"/>
                <w:lang w:val="en-US"/>
              </w:rPr>
              <w:t>00001</w:t>
            </w:r>
          </w:p>
        </w:tc>
      </w:tr>
      <w:tr w:rsidR="005B605A" w:rsidRPr="00474548" w14:paraId="5FC270DF" w14:textId="77777777" w:rsidTr="00AB10E8">
        <w:trPr>
          <w:trHeight w:val="147"/>
        </w:trPr>
        <w:tc>
          <w:tcPr>
            <w:tcW w:w="1349" w:type="pct"/>
            <w:tcBorders>
              <w:top w:val="nil"/>
              <w:left w:val="nil"/>
              <w:bottom w:val="single" w:sz="8" w:space="0" w:color="auto"/>
              <w:right w:val="nil"/>
            </w:tcBorders>
            <w:shd w:val="clear" w:color="auto" w:fill="auto"/>
            <w:noWrap/>
            <w:vAlign w:val="center"/>
            <w:hideMark/>
          </w:tcPr>
          <w:p w14:paraId="6BF0B604"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DM_OU. EV. REL. TYPE 3</w:t>
            </w:r>
          </w:p>
        </w:tc>
        <w:tc>
          <w:tcPr>
            <w:tcW w:w="763" w:type="pct"/>
            <w:tcBorders>
              <w:top w:val="nil"/>
              <w:left w:val="nil"/>
              <w:bottom w:val="single" w:sz="8" w:space="0" w:color="auto"/>
              <w:right w:val="nil"/>
            </w:tcBorders>
            <w:shd w:val="clear" w:color="auto" w:fill="auto"/>
            <w:noWrap/>
            <w:vAlign w:val="center"/>
            <w:hideMark/>
          </w:tcPr>
          <w:p w14:paraId="0C839C29"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0.144628</w:t>
            </w:r>
          </w:p>
        </w:tc>
        <w:tc>
          <w:tcPr>
            <w:tcW w:w="710" w:type="pct"/>
            <w:tcBorders>
              <w:top w:val="nil"/>
              <w:left w:val="nil"/>
              <w:bottom w:val="single" w:sz="8" w:space="0" w:color="auto"/>
              <w:right w:val="nil"/>
            </w:tcBorders>
            <w:shd w:val="clear" w:color="auto" w:fill="auto"/>
            <w:noWrap/>
            <w:vAlign w:val="center"/>
            <w:hideMark/>
          </w:tcPr>
          <w:p w14:paraId="300A892B"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0.0875074</w:t>
            </w:r>
          </w:p>
        </w:tc>
        <w:tc>
          <w:tcPr>
            <w:tcW w:w="687" w:type="pct"/>
            <w:tcBorders>
              <w:top w:val="nil"/>
              <w:left w:val="nil"/>
              <w:bottom w:val="single" w:sz="8" w:space="0" w:color="auto"/>
              <w:right w:val="nil"/>
            </w:tcBorders>
            <w:shd w:val="clear" w:color="auto" w:fill="auto"/>
            <w:noWrap/>
            <w:vAlign w:val="center"/>
            <w:hideMark/>
          </w:tcPr>
          <w:p w14:paraId="1F3CF9E9"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0.015</w:t>
            </w:r>
          </w:p>
        </w:tc>
        <w:tc>
          <w:tcPr>
            <w:tcW w:w="664" w:type="pct"/>
            <w:tcBorders>
              <w:top w:val="nil"/>
              <w:left w:val="nil"/>
              <w:bottom w:val="single" w:sz="8" w:space="0" w:color="auto"/>
              <w:right w:val="nil"/>
            </w:tcBorders>
            <w:shd w:val="clear" w:color="auto" w:fill="auto"/>
            <w:vAlign w:val="center"/>
            <w:hideMark/>
          </w:tcPr>
          <w:p w14:paraId="014C1778"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1.653</w:t>
            </w:r>
          </w:p>
        </w:tc>
        <w:tc>
          <w:tcPr>
            <w:tcW w:w="826" w:type="pct"/>
            <w:tcBorders>
              <w:top w:val="nil"/>
              <w:left w:val="nil"/>
              <w:bottom w:val="single" w:sz="8" w:space="0" w:color="auto"/>
              <w:right w:val="nil"/>
            </w:tcBorders>
            <w:shd w:val="clear" w:color="auto" w:fill="auto"/>
            <w:noWrap/>
            <w:vAlign w:val="center"/>
            <w:hideMark/>
          </w:tcPr>
          <w:p w14:paraId="5F2D166E" w14:textId="77777777" w:rsidR="005B605A" w:rsidRPr="00474548" w:rsidRDefault="005B605A" w:rsidP="008E6F8E">
            <w:pPr>
              <w:widowControl/>
              <w:suppressAutoHyphens w:val="0"/>
              <w:jc w:val="center"/>
              <w:rPr>
                <w:rFonts w:eastAsia="Times New Roman"/>
                <w:color w:val="000000"/>
                <w:kern w:val="0"/>
                <w:sz w:val="20"/>
                <w:szCs w:val="20"/>
                <w:lang w:val="en-US"/>
              </w:rPr>
            </w:pPr>
            <w:r w:rsidRPr="00474548">
              <w:rPr>
                <w:color w:val="000000"/>
                <w:kern w:val="0"/>
                <w:sz w:val="20"/>
                <w:szCs w:val="20"/>
                <w:lang w:val="en-US"/>
              </w:rPr>
              <w:t>0.09845</w:t>
            </w:r>
          </w:p>
        </w:tc>
      </w:tr>
      <w:tr w:rsidR="005B605A" w:rsidRPr="00474548" w14:paraId="1A348E42" w14:textId="77777777" w:rsidTr="00AB10E8">
        <w:trPr>
          <w:trHeight w:val="188"/>
        </w:trPr>
        <w:tc>
          <w:tcPr>
            <w:tcW w:w="2113" w:type="pct"/>
            <w:gridSpan w:val="2"/>
            <w:tcBorders>
              <w:top w:val="single" w:sz="8" w:space="0" w:color="auto"/>
              <w:left w:val="nil"/>
              <w:bottom w:val="nil"/>
              <w:right w:val="nil"/>
            </w:tcBorders>
            <w:shd w:val="clear" w:color="auto" w:fill="auto"/>
            <w:noWrap/>
            <w:vAlign w:val="center"/>
            <w:hideMark/>
          </w:tcPr>
          <w:p w14:paraId="41710A6E"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Dependent variable: RIEECOR</w:t>
            </w:r>
          </w:p>
        </w:tc>
        <w:tc>
          <w:tcPr>
            <w:tcW w:w="710" w:type="pct"/>
            <w:tcBorders>
              <w:top w:val="nil"/>
              <w:left w:val="nil"/>
              <w:bottom w:val="nil"/>
              <w:right w:val="nil"/>
            </w:tcBorders>
            <w:shd w:val="clear" w:color="auto" w:fill="auto"/>
            <w:noWrap/>
            <w:vAlign w:val="bottom"/>
            <w:hideMark/>
          </w:tcPr>
          <w:p w14:paraId="28A9FBA0" w14:textId="77777777" w:rsidR="005B605A" w:rsidRPr="00474548" w:rsidRDefault="005B605A" w:rsidP="008E6F8E">
            <w:pPr>
              <w:widowControl/>
              <w:suppressAutoHyphens w:val="0"/>
              <w:rPr>
                <w:rFonts w:eastAsia="Times New Roman"/>
                <w:color w:val="000000"/>
                <w:kern w:val="0"/>
                <w:sz w:val="20"/>
                <w:szCs w:val="20"/>
                <w:lang w:val="en-US"/>
              </w:rPr>
            </w:pPr>
          </w:p>
        </w:tc>
        <w:tc>
          <w:tcPr>
            <w:tcW w:w="2177" w:type="pct"/>
            <w:gridSpan w:val="3"/>
            <w:tcBorders>
              <w:top w:val="single" w:sz="8" w:space="0" w:color="auto"/>
              <w:left w:val="nil"/>
              <w:bottom w:val="nil"/>
              <w:right w:val="nil"/>
            </w:tcBorders>
            <w:shd w:val="clear" w:color="auto" w:fill="auto"/>
            <w:noWrap/>
            <w:vAlign w:val="center"/>
            <w:hideMark/>
          </w:tcPr>
          <w:p w14:paraId="1C26DE8D" w14:textId="77777777" w:rsidR="005B605A" w:rsidRPr="00474548" w:rsidRDefault="005B605A" w:rsidP="008E6F8E">
            <w:pPr>
              <w:widowControl/>
              <w:suppressAutoHyphens w:val="0"/>
              <w:rPr>
                <w:rFonts w:eastAsia="Times New Roman"/>
                <w:color w:val="000000"/>
                <w:kern w:val="0"/>
                <w:sz w:val="20"/>
                <w:szCs w:val="20"/>
                <w:lang w:val="en-US"/>
              </w:rPr>
            </w:pPr>
            <w:proofErr w:type="spellStart"/>
            <w:r w:rsidRPr="00474548">
              <w:rPr>
                <w:color w:val="000000"/>
                <w:kern w:val="0"/>
                <w:sz w:val="20"/>
                <w:szCs w:val="20"/>
                <w:lang w:val="en-US"/>
              </w:rPr>
              <w:t>Coeff</w:t>
            </w:r>
            <w:proofErr w:type="spellEnd"/>
            <w:r w:rsidRPr="00474548">
              <w:rPr>
                <w:color w:val="000000"/>
                <w:kern w:val="0"/>
                <w:sz w:val="20"/>
                <w:szCs w:val="20"/>
                <w:lang w:val="en-US"/>
              </w:rPr>
              <w:t xml:space="preserve">. </w:t>
            </w:r>
            <w:proofErr w:type="gramStart"/>
            <w:r w:rsidRPr="00474548">
              <w:rPr>
                <w:color w:val="000000"/>
                <w:kern w:val="0"/>
                <w:sz w:val="20"/>
                <w:szCs w:val="20"/>
                <w:lang w:val="en-US"/>
              </w:rPr>
              <w:t>of</w:t>
            </w:r>
            <w:proofErr w:type="gramEnd"/>
            <w:r w:rsidRPr="00474548">
              <w:rPr>
                <w:color w:val="000000"/>
                <w:kern w:val="0"/>
                <w:sz w:val="20"/>
                <w:szCs w:val="20"/>
                <w:lang w:val="en-US"/>
              </w:rPr>
              <w:t xml:space="preserve"> 1st order autocorrelation = -0.0144</w:t>
            </w:r>
          </w:p>
        </w:tc>
      </w:tr>
      <w:tr w:rsidR="005B605A" w:rsidRPr="00474548" w14:paraId="3B663E2B" w14:textId="77777777" w:rsidTr="00AB10E8">
        <w:trPr>
          <w:trHeight w:val="267"/>
        </w:trPr>
        <w:tc>
          <w:tcPr>
            <w:tcW w:w="2823" w:type="pct"/>
            <w:gridSpan w:val="3"/>
            <w:tcBorders>
              <w:top w:val="nil"/>
              <w:left w:val="nil"/>
              <w:bottom w:val="nil"/>
              <w:right w:val="nil"/>
            </w:tcBorders>
            <w:shd w:val="clear" w:color="auto" w:fill="auto"/>
            <w:noWrap/>
            <w:vAlign w:val="center"/>
            <w:hideMark/>
          </w:tcPr>
          <w:p w14:paraId="6D4234F1" w14:textId="4257C93C"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Dependent variable average = 0</w:t>
            </w:r>
            <w:r w:rsidR="00B37B95" w:rsidRPr="00474548">
              <w:rPr>
                <w:color w:val="000000"/>
                <w:kern w:val="0"/>
                <w:sz w:val="20"/>
                <w:szCs w:val="20"/>
                <w:lang w:val="en-US"/>
              </w:rPr>
              <w:t>.</w:t>
            </w:r>
            <w:r w:rsidRPr="00474548">
              <w:rPr>
                <w:color w:val="000000"/>
                <w:kern w:val="0"/>
                <w:sz w:val="20"/>
                <w:szCs w:val="20"/>
                <w:lang w:val="en-US"/>
              </w:rPr>
              <w:t>000644049</w:t>
            </w:r>
          </w:p>
        </w:tc>
        <w:tc>
          <w:tcPr>
            <w:tcW w:w="2177" w:type="pct"/>
            <w:gridSpan w:val="3"/>
            <w:tcBorders>
              <w:top w:val="nil"/>
              <w:left w:val="nil"/>
              <w:bottom w:val="nil"/>
              <w:right w:val="nil"/>
            </w:tcBorders>
            <w:shd w:val="clear" w:color="auto" w:fill="auto"/>
            <w:noWrap/>
            <w:vAlign w:val="center"/>
            <w:hideMark/>
          </w:tcPr>
          <w:p w14:paraId="1FF5FFE2" w14:textId="3CCFE8B3"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Likelihood logarithm = 13621</w:t>
            </w:r>
            <w:r w:rsidR="00B37B95" w:rsidRPr="00474548">
              <w:rPr>
                <w:color w:val="000000"/>
                <w:kern w:val="0"/>
                <w:sz w:val="20"/>
                <w:szCs w:val="20"/>
                <w:lang w:val="en-US"/>
              </w:rPr>
              <w:t>.</w:t>
            </w:r>
            <w:r w:rsidRPr="00474548">
              <w:rPr>
                <w:color w:val="000000"/>
                <w:kern w:val="0"/>
                <w:sz w:val="20"/>
                <w:szCs w:val="20"/>
                <w:lang w:val="en-US"/>
              </w:rPr>
              <w:t>6</w:t>
            </w:r>
          </w:p>
        </w:tc>
      </w:tr>
      <w:tr w:rsidR="005B605A" w:rsidRPr="00474548" w14:paraId="4463FC72" w14:textId="77777777" w:rsidTr="00AB10E8">
        <w:trPr>
          <w:trHeight w:val="130"/>
        </w:trPr>
        <w:tc>
          <w:tcPr>
            <w:tcW w:w="2823" w:type="pct"/>
            <w:gridSpan w:val="3"/>
            <w:tcBorders>
              <w:top w:val="nil"/>
              <w:left w:val="nil"/>
              <w:bottom w:val="nil"/>
              <w:right w:val="nil"/>
            </w:tcBorders>
            <w:shd w:val="clear" w:color="auto" w:fill="auto"/>
            <w:noWrap/>
            <w:vAlign w:val="center"/>
            <w:hideMark/>
          </w:tcPr>
          <w:p w14:paraId="5C6BD2E2" w14:textId="0F1EF612"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Dependent variable standard deviation = 0</w:t>
            </w:r>
            <w:r w:rsidR="00B37B95" w:rsidRPr="00474548">
              <w:rPr>
                <w:color w:val="000000"/>
                <w:kern w:val="0"/>
                <w:sz w:val="20"/>
                <w:szCs w:val="20"/>
                <w:lang w:val="en-US"/>
              </w:rPr>
              <w:t>.</w:t>
            </w:r>
            <w:r w:rsidRPr="00474548">
              <w:rPr>
                <w:color w:val="000000"/>
                <w:kern w:val="0"/>
                <w:sz w:val="20"/>
                <w:szCs w:val="20"/>
                <w:lang w:val="en-US"/>
              </w:rPr>
              <w:t>0193657</w:t>
            </w:r>
          </w:p>
        </w:tc>
        <w:tc>
          <w:tcPr>
            <w:tcW w:w="2177" w:type="pct"/>
            <w:gridSpan w:val="3"/>
            <w:tcBorders>
              <w:top w:val="nil"/>
              <w:left w:val="nil"/>
              <w:bottom w:val="nil"/>
              <w:right w:val="nil"/>
            </w:tcBorders>
            <w:shd w:val="clear" w:color="auto" w:fill="auto"/>
            <w:noWrap/>
            <w:vAlign w:val="center"/>
            <w:hideMark/>
          </w:tcPr>
          <w:p w14:paraId="2F860B15" w14:textId="31D2B841" w:rsidR="005B605A" w:rsidRPr="00474548" w:rsidRDefault="005B605A" w:rsidP="008E6F8E">
            <w:pPr>
              <w:widowControl/>
              <w:suppressAutoHyphens w:val="0"/>
              <w:rPr>
                <w:rFonts w:eastAsia="Times New Roman"/>
                <w:color w:val="000000"/>
                <w:kern w:val="0"/>
                <w:sz w:val="20"/>
                <w:szCs w:val="20"/>
                <w:lang w:val="en-US"/>
              </w:rPr>
            </w:pPr>
            <w:proofErr w:type="spellStart"/>
            <w:r w:rsidRPr="00474548">
              <w:rPr>
                <w:color w:val="000000"/>
                <w:kern w:val="0"/>
                <w:sz w:val="20"/>
                <w:szCs w:val="20"/>
                <w:lang w:val="en-US"/>
              </w:rPr>
              <w:t>Akaike</w:t>
            </w:r>
            <w:proofErr w:type="spellEnd"/>
            <w:r w:rsidRPr="00474548">
              <w:rPr>
                <w:color w:val="000000"/>
                <w:kern w:val="0"/>
                <w:sz w:val="20"/>
                <w:szCs w:val="20"/>
                <w:lang w:val="en-US"/>
              </w:rPr>
              <w:t xml:space="preserve"> information criterion = -27237</w:t>
            </w:r>
            <w:r w:rsidR="00B37B95" w:rsidRPr="00474548">
              <w:rPr>
                <w:color w:val="000000"/>
                <w:kern w:val="0"/>
                <w:sz w:val="20"/>
                <w:szCs w:val="20"/>
                <w:lang w:val="en-US"/>
              </w:rPr>
              <w:t>.</w:t>
            </w:r>
            <w:r w:rsidRPr="00474548">
              <w:rPr>
                <w:color w:val="000000"/>
                <w:kern w:val="0"/>
                <w:sz w:val="20"/>
                <w:szCs w:val="20"/>
                <w:lang w:val="en-US"/>
              </w:rPr>
              <w:t>3</w:t>
            </w:r>
          </w:p>
        </w:tc>
      </w:tr>
      <w:tr w:rsidR="005B605A" w:rsidRPr="00474548" w14:paraId="4ECA7E78" w14:textId="77777777" w:rsidTr="00AB10E8">
        <w:trPr>
          <w:trHeight w:val="203"/>
        </w:trPr>
        <w:tc>
          <w:tcPr>
            <w:tcW w:w="2823" w:type="pct"/>
            <w:gridSpan w:val="3"/>
            <w:tcBorders>
              <w:top w:val="nil"/>
              <w:left w:val="nil"/>
              <w:bottom w:val="nil"/>
              <w:right w:val="nil"/>
            </w:tcBorders>
            <w:shd w:val="clear" w:color="auto" w:fill="auto"/>
            <w:noWrap/>
            <w:vAlign w:val="center"/>
            <w:hideMark/>
          </w:tcPr>
          <w:p w14:paraId="4AD876C2" w14:textId="7BF3536D"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Sum of square residues = 0</w:t>
            </w:r>
            <w:r w:rsidR="00B37B95" w:rsidRPr="00474548">
              <w:rPr>
                <w:color w:val="000000"/>
                <w:kern w:val="0"/>
                <w:sz w:val="20"/>
                <w:szCs w:val="20"/>
                <w:lang w:val="en-US"/>
              </w:rPr>
              <w:t>.</w:t>
            </w:r>
            <w:r w:rsidRPr="00474548">
              <w:rPr>
                <w:color w:val="000000"/>
                <w:kern w:val="0"/>
                <w:sz w:val="20"/>
                <w:szCs w:val="20"/>
                <w:lang w:val="en-US"/>
              </w:rPr>
              <w:t>573441</w:t>
            </w:r>
          </w:p>
        </w:tc>
        <w:tc>
          <w:tcPr>
            <w:tcW w:w="2177" w:type="pct"/>
            <w:gridSpan w:val="3"/>
            <w:tcBorders>
              <w:top w:val="nil"/>
              <w:left w:val="nil"/>
              <w:bottom w:val="nil"/>
              <w:right w:val="nil"/>
            </w:tcBorders>
            <w:shd w:val="clear" w:color="auto" w:fill="auto"/>
            <w:noWrap/>
            <w:vAlign w:val="center"/>
            <w:hideMark/>
          </w:tcPr>
          <w:p w14:paraId="6D50C60B" w14:textId="40D4772E"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Schwarz's Bayesian Criterion = -27218</w:t>
            </w:r>
            <w:r w:rsidR="00B37B95" w:rsidRPr="00474548">
              <w:rPr>
                <w:color w:val="000000"/>
                <w:kern w:val="0"/>
                <w:sz w:val="20"/>
                <w:szCs w:val="20"/>
                <w:lang w:val="en-US"/>
              </w:rPr>
              <w:t>.</w:t>
            </w:r>
            <w:r w:rsidRPr="00474548">
              <w:rPr>
                <w:color w:val="000000"/>
                <w:kern w:val="0"/>
                <w:sz w:val="20"/>
                <w:szCs w:val="20"/>
                <w:lang w:val="en-US"/>
              </w:rPr>
              <w:t>1</w:t>
            </w:r>
          </w:p>
        </w:tc>
      </w:tr>
      <w:tr w:rsidR="005B605A" w:rsidRPr="00474548" w14:paraId="5E502887" w14:textId="77777777" w:rsidTr="00AB10E8">
        <w:trPr>
          <w:trHeight w:val="136"/>
        </w:trPr>
        <w:tc>
          <w:tcPr>
            <w:tcW w:w="2113" w:type="pct"/>
            <w:gridSpan w:val="2"/>
            <w:tcBorders>
              <w:top w:val="nil"/>
              <w:left w:val="nil"/>
              <w:bottom w:val="nil"/>
              <w:right w:val="nil"/>
            </w:tcBorders>
            <w:shd w:val="clear" w:color="auto" w:fill="auto"/>
            <w:noWrap/>
            <w:vAlign w:val="center"/>
            <w:hideMark/>
          </w:tcPr>
          <w:p w14:paraId="49629FC7" w14:textId="31ECFFD8"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Standard error of residues = 0</w:t>
            </w:r>
            <w:r w:rsidR="00B37B95" w:rsidRPr="00474548">
              <w:rPr>
                <w:color w:val="000000"/>
                <w:kern w:val="0"/>
                <w:sz w:val="20"/>
                <w:szCs w:val="20"/>
                <w:lang w:val="en-US"/>
              </w:rPr>
              <w:t>.</w:t>
            </w:r>
            <w:r w:rsidRPr="00474548">
              <w:rPr>
                <w:color w:val="000000"/>
                <w:kern w:val="0"/>
                <w:sz w:val="20"/>
                <w:szCs w:val="20"/>
                <w:lang w:val="en-US"/>
              </w:rPr>
              <w:t>0113531</w:t>
            </w:r>
          </w:p>
        </w:tc>
        <w:tc>
          <w:tcPr>
            <w:tcW w:w="710" w:type="pct"/>
            <w:tcBorders>
              <w:top w:val="nil"/>
              <w:left w:val="nil"/>
              <w:bottom w:val="nil"/>
              <w:right w:val="nil"/>
            </w:tcBorders>
            <w:shd w:val="clear" w:color="auto" w:fill="auto"/>
            <w:noWrap/>
            <w:vAlign w:val="bottom"/>
            <w:hideMark/>
          </w:tcPr>
          <w:p w14:paraId="67987B7E" w14:textId="77777777" w:rsidR="005B605A" w:rsidRPr="00474548" w:rsidRDefault="005B605A" w:rsidP="008E6F8E">
            <w:pPr>
              <w:widowControl/>
              <w:suppressAutoHyphens w:val="0"/>
              <w:rPr>
                <w:rFonts w:eastAsia="Times New Roman"/>
                <w:color w:val="000000"/>
                <w:kern w:val="0"/>
                <w:sz w:val="20"/>
                <w:szCs w:val="20"/>
                <w:lang w:val="en-US"/>
              </w:rPr>
            </w:pPr>
          </w:p>
        </w:tc>
        <w:tc>
          <w:tcPr>
            <w:tcW w:w="2177" w:type="pct"/>
            <w:gridSpan w:val="3"/>
            <w:tcBorders>
              <w:top w:val="nil"/>
              <w:left w:val="nil"/>
              <w:bottom w:val="nil"/>
              <w:right w:val="nil"/>
            </w:tcBorders>
            <w:shd w:val="clear" w:color="auto" w:fill="auto"/>
            <w:noWrap/>
            <w:vAlign w:val="center"/>
            <w:hideMark/>
          </w:tcPr>
          <w:p w14:paraId="5FC687AF" w14:textId="6C1FDD07" w:rsidR="005B605A" w:rsidRPr="00474548" w:rsidRDefault="005B605A" w:rsidP="008E6F8E">
            <w:pPr>
              <w:widowControl/>
              <w:suppressAutoHyphens w:val="0"/>
              <w:rPr>
                <w:rFonts w:eastAsia="Times New Roman"/>
                <w:color w:val="000000"/>
                <w:kern w:val="0"/>
                <w:sz w:val="20"/>
                <w:szCs w:val="20"/>
                <w:lang w:val="en-US"/>
              </w:rPr>
            </w:pPr>
            <w:proofErr w:type="spellStart"/>
            <w:r w:rsidRPr="00474548">
              <w:rPr>
                <w:color w:val="000000"/>
                <w:kern w:val="0"/>
                <w:sz w:val="20"/>
                <w:szCs w:val="20"/>
                <w:lang w:val="en-US"/>
              </w:rPr>
              <w:t>Hannan</w:t>
            </w:r>
            <w:proofErr w:type="spellEnd"/>
            <w:r w:rsidRPr="00474548">
              <w:rPr>
                <w:color w:val="000000"/>
                <w:kern w:val="0"/>
                <w:sz w:val="20"/>
                <w:szCs w:val="20"/>
                <w:lang w:val="en-US"/>
              </w:rPr>
              <w:t>-Quinn Criterion = -27230</w:t>
            </w:r>
            <w:r w:rsidR="00B37B95" w:rsidRPr="00474548">
              <w:rPr>
                <w:color w:val="000000"/>
                <w:kern w:val="0"/>
                <w:sz w:val="20"/>
                <w:szCs w:val="20"/>
                <w:lang w:val="en-US"/>
              </w:rPr>
              <w:t>.</w:t>
            </w:r>
            <w:r w:rsidRPr="00474548">
              <w:rPr>
                <w:color w:val="000000"/>
                <w:kern w:val="0"/>
                <w:sz w:val="20"/>
                <w:szCs w:val="20"/>
                <w:lang w:val="en-US"/>
              </w:rPr>
              <w:t>5</w:t>
            </w:r>
          </w:p>
        </w:tc>
      </w:tr>
      <w:tr w:rsidR="005B605A" w:rsidRPr="00474548" w14:paraId="4D0B5C20" w14:textId="77777777" w:rsidTr="00AB10E8">
        <w:trPr>
          <w:trHeight w:val="224"/>
        </w:trPr>
        <w:tc>
          <w:tcPr>
            <w:tcW w:w="2113" w:type="pct"/>
            <w:gridSpan w:val="2"/>
            <w:tcBorders>
              <w:top w:val="nil"/>
              <w:left w:val="nil"/>
              <w:bottom w:val="nil"/>
              <w:right w:val="nil"/>
            </w:tcBorders>
            <w:shd w:val="clear" w:color="auto" w:fill="auto"/>
            <w:noWrap/>
            <w:vAlign w:val="center"/>
            <w:hideMark/>
          </w:tcPr>
          <w:p w14:paraId="442FA8B9" w14:textId="1D6F5466"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R</w:t>
            </w:r>
            <w:r w:rsidRPr="00474548">
              <w:rPr>
                <w:color w:val="000000"/>
                <w:kern w:val="0"/>
                <w:sz w:val="20"/>
                <w:szCs w:val="20"/>
                <w:vertAlign w:val="superscript"/>
                <w:lang w:val="en-US"/>
              </w:rPr>
              <w:t>2</w:t>
            </w:r>
            <w:r w:rsidRPr="00474548">
              <w:rPr>
                <w:color w:val="000000"/>
                <w:kern w:val="0"/>
                <w:sz w:val="20"/>
                <w:szCs w:val="20"/>
                <w:lang w:val="en-US"/>
              </w:rPr>
              <w:t xml:space="preserve"> not adjusted = 0</w:t>
            </w:r>
            <w:r w:rsidR="00B37B95" w:rsidRPr="00474548">
              <w:rPr>
                <w:color w:val="000000"/>
                <w:kern w:val="0"/>
                <w:sz w:val="20"/>
                <w:szCs w:val="20"/>
                <w:lang w:val="en-US"/>
              </w:rPr>
              <w:t>.</w:t>
            </w:r>
            <w:r w:rsidRPr="00474548">
              <w:rPr>
                <w:color w:val="000000"/>
                <w:kern w:val="0"/>
                <w:sz w:val="20"/>
                <w:szCs w:val="20"/>
                <w:lang w:val="en-US"/>
              </w:rPr>
              <w:t>65647</w:t>
            </w:r>
          </w:p>
        </w:tc>
        <w:tc>
          <w:tcPr>
            <w:tcW w:w="710" w:type="pct"/>
            <w:tcBorders>
              <w:top w:val="nil"/>
              <w:left w:val="nil"/>
              <w:bottom w:val="nil"/>
              <w:right w:val="nil"/>
            </w:tcBorders>
            <w:shd w:val="clear" w:color="auto" w:fill="auto"/>
            <w:noWrap/>
            <w:vAlign w:val="bottom"/>
            <w:hideMark/>
          </w:tcPr>
          <w:p w14:paraId="73688756" w14:textId="77777777" w:rsidR="005B605A" w:rsidRPr="00474548" w:rsidRDefault="005B605A" w:rsidP="008E6F8E">
            <w:pPr>
              <w:widowControl/>
              <w:suppressAutoHyphens w:val="0"/>
              <w:rPr>
                <w:rFonts w:eastAsia="Times New Roman"/>
                <w:color w:val="000000"/>
                <w:kern w:val="0"/>
                <w:sz w:val="20"/>
                <w:szCs w:val="20"/>
                <w:lang w:val="en-US"/>
              </w:rPr>
            </w:pPr>
          </w:p>
        </w:tc>
        <w:tc>
          <w:tcPr>
            <w:tcW w:w="2177" w:type="pct"/>
            <w:gridSpan w:val="3"/>
            <w:tcBorders>
              <w:top w:val="nil"/>
              <w:left w:val="nil"/>
              <w:bottom w:val="nil"/>
              <w:right w:val="nil"/>
            </w:tcBorders>
            <w:shd w:val="clear" w:color="auto" w:fill="auto"/>
            <w:noWrap/>
            <w:vAlign w:val="center"/>
            <w:hideMark/>
          </w:tcPr>
          <w:p w14:paraId="0C1CEF0C"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LM test for autocorrelation up to order 5 -</w:t>
            </w:r>
          </w:p>
        </w:tc>
      </w:tr>
      <w:tr w:rsidR="005B605A" w:rsidRPr="00474548" w14:paraId="36A93585" w14:textId="77777777" w:rsidTr="00AB10E8">
        <w:trPr>
          <w:trHeight w:val="141"/>
        </w:trPr>
        <w:tc>
          <w:tcPr>
            <w:tcW w:w="1349" w:type="pct"/>
            <w:tcBorders>
              <w:top w:val="nil"/>
              <w:left w:val="nil"/>
              <w:bottom w:val="nil"/>
              <w:right w:val="nil"/>
            </w:tcBorders>
            <w:shd w:val="clear" w:color="auto" w:fill="auto"/>
            <w:noWrap/>
            <w:vAlign w:val="center"/>
            <w:hideMark/>
          </w:tcPr>
          <w:p w14:paraId="47DA1D61" w14:textId="53059476"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R</w:t>
            </w:r>
            <w:r w:rsidRPr="00474548">
              <w:rPr>
                <w:color w:val="000000"/>
                <w:kern w:val="0"/>
                <w:sz w:val="20"/>
                <w:szCs w:val="20"/>
                <w:vertAlign w:val="superscript"/>
                <w:lang w:val="en-US"/>
              </w:rPr>
              <w:t>2</w:t>
            </w:r>
            <w:r w:rsidRPr="00474548">
              <w:rPr>
                <w:color w:val="000000"/>
                <w:kern w:val="0"/>
                <w:sz w:val="20"/>
                <w:szCs w:val="20"/>
                <w:lang w:val="en-US"/>
              </w:rPr>
              <w:t xml:space="preserve"> adjusted = 0</w:t>
            </w:r>
            <w:r w:rsidR="00B37B95" w:rsidRPr="00474548">
              <w:rPr>
                <w:color w:val="000000"/>
                <w:kern w:val="0"/>
                <w:sz w:val="20"/>
                <w:szCs w:val="20"/>
                <w:lang w:val="en-US"/>
              </w:rPr>
              <w:t>.</w:t>
            </w:r>
            <w:r w:rsidRPr="00474548">
              <w:rPr>
                <w:color w:val="000000"/>
                <w:kern w:val="0"/>
                <w:sz w:val="20"/>
                <w:szCs w:val="20"/>
                <w:lang w:val="en-US"/>
              </w:rPr>
              <w:t>656315</w:t>
            </w:r>
          </w:p>
        </w:tc>
        <w:tc>
          <w:tcPr>
            <w:tcW w:w="763" w:type="pct"/>
            <w:tcBorders>
              <w:top w:val="nil"/>
              <w:left w:val="nil"/>
              <w:bottom w:val="nil"/>
              <w:right w:val="nil"/>
            </w:tcBorders>
            <w:shd w:val="clear" w:color="auto" w:fill="auto"/>
            <w:noWrap/>
            <w:vAlign w:val="bottom"/>
            <w:hideMark/>
          </w:tcPr>
          <w:p w14:paraId="15A5DF58" w14:textId="77777777" w:rsidR="005B605A" w:rsidRPr="00474548" w:rsidRDefault="005B605A" w:rsidP="008E6F8E">
            <w:pPr>
              <w:widowControl/>
              <w:suppressAutoHyphens w:val="0"/>
              <w:rPr>
                <w:rFonts w:eastAsia="Times New Roman"/>
                <w:color w:val="000000"/>
                <w:kern w:val="0"/>
                <w:sz w:val="20"/>
                <w:szCs w:val="20"/>
                <w:lang w:val="en-US"/>
              </w:rPr>
            </w:pPr>
          </w:p>
        </w:tc>
        <w:tc>
          <w:tcPr>
            <w:tcW w:w="710" w:type="pct"/>
            <w:tcBorders>
              <w:top w:val="nil"/>
              <w:left w:val="nil"/>
              <w:bottom w:val="nil"/>
              <w:right w:val="nil"/>
            </w:tcBorders>
            <w:shd w:val="clear" w:color="auto" w:fill="auto"/>
            <w:noWrap/>
            <w:vAlign w:val="bottom"/>
            <w:hideMark/>
          </w:tcPr>
          <w:p w14:paraId="1775E2ED" w14:textId="77777777" w:rsidR="005B605A" w:rsidRPr="00474548" w:rsidRDefault="005B605A" w:rsidP="008E6F8E">
            <w:pPr>
              <w:widowControl/>
              <w:suppressAutoHyphens w:val="0"/>
              <w:rPr>
                <w:rFonts w:eastAsia="Times New Roman"/>
                <w:color w:val="000000"/>
                <w:kern w:val="0"/>
                <w:sz w:val="20"/>
                <w:szCs w:val="20"/>
                <w:lang w:val="en-US"/>
              </w:rPr>
            </w:pPr>
          </w:p>
        </w:tc>
        <w:tc>
          <w:tcPr>
            <w:tcW w:w="2177" w:type="pct"/>
            <w:gridSpan w:val="3"/>
            <w:tcBorders>
              <w:top w:val="nil"/>
              <w:left w:val="nil"/>
              <w:bottom w:val="nil"/>
              <w:right w:val="nil"/>
            </w:tcBorders>
            <w:shd w:val="clear" w:color="auto" w:fill="auto"/>
            <w:noWrap/>
            <w:vAlign w:val="center"/>
            <w:hideMark/>
          </w:tcPr>
          <w:p w14:paraId="208F5B2B"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 xml:space="preserve"> Null hypotheses: without autocorrelation</w:t>
            </w:r>
          </w:p>
        </w:tc>
      </w:tr>
      <w:tr w:rsidR="005B605A" w:rsidRPr="00474548" w14:paraId="7373BBF0" w14:textId="77777777" w:rsidTr="00AB10E8">
        <w:trPr>
          <w:trHeight w:val="216"/>
        </w:trPr>
        <w:tc>
          <w:tcPr>
            <w:tcW w:w="2823" w:type="pct"/>
            <w:gridSpan w:val="3"/>
            <w:tcBorders>
              <w:top w:val="nil"/>
              <w:left w:val="nil"/>
              <w:bottom w:val="nil"/>
              <w:right w:val="nil"/>
            </w:tcBorders>
            <w:shd w:val="clear" w:color="auto" w:fill="auto"/>
            <w:noWrap/>
            <w:vAlign w:val="center"/>
            <w:hideMark/>
          </w:tcPr>
          <w:p w14:paraId="1477124D"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Statistics-F (2.4449) = 4250.91 (p-value &lt; 0.00001)</w:t>
            </w:r>
          </w:p>
        </w:tc>
        <w:tc>
          <w:tcPr>
            <w:tcW w:w="2177" w:type="pct"/>
            <w:gridSpan w:val="3"/>
            <w:tcBorders>
              <w:top w:val="nil"/>
              <w:left w:val="nil"/>
              <w:bottom w:val="nil"/>
              <w:right w:val="nil"/>
            </w:tcBorders>
            <w:shd w:val="clear" w:color="auto" w:fill="auto"/>
            <w:noWrap/>
            <w:vAlign w:val="center"/>
            <w:hideMark/>
          </w:tcPr>
          <w:p w14:paraId="3705C56D" w14:textId="181D50AE"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 xml:space="preserve"> Test statistics: LMF = 1</w:t>
            </w:r>
            <w:r w:rsidR="00B37B95" w:rsidRPr="00474548">
              <w:rPr>
                <w:color w:val="000000"/>
                <w:kern w:val="0"/>
                <w:sz w:val="20"/>
                <w:szCs w:val="20"/>
                <w:lang w:val="en-US"/>
              </w:rPr>
              <w:t>.</w:t>
            </w:r>
            <w:r w:rsidRPr="00474548">
              <w:rPr>
                <w:color w:val="000000"/>
                <w:kern w:val="0"/>
                <w:sz w:val="20"/>
                <w:szCs w:val="20"/>
                <w:lang w:val="en-US"/>
              </w:rPr>
              <w:t>348</w:t>
            </w:r>
          </w:p>
        </w:tc>
      </w:tr>
      <w:tr w:rsidR="005B605A" w:rsidRPr="00474548" w14:paraId="091BD3C8" w14:textId="77777777" w:rsidTr="00AB10E8">
        <w:trPr>
          <w:trHeight w:val="134"/>
        </w:trPr>
        <w:tc>
          <w:tcPr>
            <w:tcW w:w="2113" w:type="pct"/>
            <w:gridSpan w:val="2"/>
            <w:tcBorders>
              <w:top w:val="nil"/>
              <w:left w:val="nil"/>
              <w:bottom w:val="single" w:sz="8" w:space="0" w:color="auto"/>
              <w:right w:val="nil"/>
            </w:tcBorders>
            <w:shd w:val="clear" w:color="auto" w:fill="auto"/>
            <w:noWrap/>
            <w:vAlign w:val="center"/>
            <w:hideMark/>
          </w:tcPr>
          <w:p w14:paraId="39FDE21F" w14:textId="37ACE693"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Durbin-Watson Statistics = 2</w:t>
            </w:r>
            <w:r w:rsidR="00B37B95" w:rsidRPr="00474548">
              <w:rPr>
                <w:color w:val="000000"/>
                <w:kern w:val="0"/>
                <w:sz w:val="20"/>
                <w:szCs w:val="20"/>
                <w:lang w:val="en-US"/>
              </w:rPr>
              <w:t>.</w:t>
            </w:r>
            <w:r w:rsidRPr="00474548">
              <w:rPr>
                <w:color w:val="000000"/>
                <w:kern w:val="0"/>
                <w:sz w:val="20"/>
                <w:szCs w:val="20"/>
                <w:lang w:val="en-US"/>
              </w:rPr>
              <w:t>02879</w:t>
            </w:r>
          </w:p>
        </w:tc>
        <w:tc>
          <w:tcPr>
            <w:tcW w:w="710" w:type="pct"/>
            <w:tcBorders>
              <w:top w:val="nil"/>
              <w:left w:val="nil"/>
              <w:bottom w:val="single" w:sz="8" w:space="0" w:color="auto"/>
              <w:right w:val="nil"/>
            </w:tcBorders>
            <w:shd w:val="clear" w:color="auto" w:fill="auto"/>
            <w:noWrap/>
            <w:vAlign w:val="center"/>
            <w:hideMark/>
          </w:tcPr>
          <w:p w14:paraId="5BD88385" w14:textId="77777777"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 </w:t>
            </w:r>
          </w:p>
        </w:tc>
        <w:tc>
          <w:tcPr>
            <w:tcW w:w="2177" w:type="pct"/>
            <w:gridSpan w:val="3"/>
            <w:tcBorders>
              <w:top w:val="nil"/>
              <w:left w:val="nil"/>
              <w:bottom w:val="single" w:sz="8" w:space="0" w:color="auto"/>
              <w:right w:val="nil"/>
            </w:tcBorders>
            <w:shd w:val="clear" w:color="auto" w:fill="auto"/>
            <w:noWrap/>
            <w:vAlign w:val="center"/>
            <w:hideMark/>
          </w:tcPr>
          <w:p w14:paraId="1C3A715E" w14:textId="62895819" w:rsidR="005B605A" w:rsidRPr="00474548" w:rsidRDefault="005B605A" w:rsidP="008E6F8E">
            <w:pPr>
              <w:widowControl/>
              <w:suppressAutoHyphens w:val="0"/>
              <w:rPr>
                <w:rFonts w:eastAsia="Times New Roman"/>
                <w:color w:val="000000"/>
                <w:kern w:val="0"/>
                <w:sz w:val="20"/>
                <w:szCs w:val="20"/>
                <w:lang w:val="en-US"/>
              </w:rPr>
            </w:pPr>
            <w:r w:rsidRPr="00474548">
              <w:rPr>
                <w:color w:val="000000"/>
                <w:kern w:val="0"/>
                <w:sz w:val="20"/>
                <w:szCs w:val="20"/>
                <w:lang w:val="en-US"/>
              </w:rPr>
              <w:t xml:space="preserve"> </w:t>
            </w:r>
            <w:proofErr w:type="gramStart"/>
            <w:r w:rsidRPr="00474548">
              <w:rPr>
                <w:color w:val="000000"/>
                <w:kern w:val="0"/>
                <w:sz w:val="20"/>
                <w:szCs w:val="20"/>
                <w:lang w:val="en-US"/>
              </w:rPr>
              <w:t>with</w:t>
            </w:r>
            <w:proofErr w:type="gramEnd"/>
            <w:r w:rsidRPr="00474548">
              <w:rPr>
                <w:color w:val="000000"/>
                <w:kern w:val="0"/>
                <w:sz w:val="20"/>
                <w:szCs w:val="20"/>
                <w:lang w:val="en-US"/>
              </w:rPr>
              <w:t xml:space="preserve"> p-value = P(F(5</w:t>
            </w:r>
            <w:r w:rsidR="00B37B95" w:rsidRPr="00474548">
              <w:rPr>
                <w:color w:val="000000"/>
                <w:kern w:val="0"/>
                <w:sz w:val="20"/>
                <w:szCs w:val="20"/>
                <w:lang w:val="en-US"/>
              </w:rPr>
              <w:t>.</w:t>
            </w:r>
            <w:r w:rsidRPr="00474548">
              <w:rPr>
                <w:color w:val="000000"/>
                <w:kern w:val="0"/>
                <w:sz w:val="20"/>
                <w:szCs w:val="20"/>
                <w:lang w:val="en-US"/>
              </w:rPr>
              <w:t>4439) &gt; 1</w:t>
            </w:r>
            <w:r w:rsidR="00B37B95" w:rsidRPr="00474548">
              <w:rPr>
                <w:color w:val="000000"/>
                <w:kern w:val="0"/>
                <w:sz w:val="20"/>
                <w:szCs w:val="20"/>
                <w:lang w:val="en-US"/>
              </w:rPr>
              <w:t>.</w:t>
            </w:r>
            <w:r w:rsidRPr="00474548">
              <w:rPr>
                <w:color w:val="000000"/>
                <w:kern w:val="0"/>
                <w:sz w:val="20"/>
                <w:szCs w:val="20"/>
                <w:lang w:val="en-US"/>
              </w:rPr>
              <w:t>348) = 0</w:t>
            </w:r>
            <w:r w:rsidR="00B37B95" w:rsidRPr="00474548">
              <w:rPr>
                <w:color w:val="000000"/>
                <w:kern w:val="0"/>
                <w:sz w:val="20"/>
                <w:szCs w:val="20"/>
                <w:lang w:val="en-US"/>
              </w:rPr>
              <w:t>.</w:t>
            </w:r>
            <w:r w:rsidRPr="00474548">
              <w:rPr>
                <w:color w:val="000000"/>
                <w:kern w:val="0"/>
                <w:sz w:val="20"/>
                <w:szCs w:val="20"/>
                <w:lang w:val="en-US"/>
              </w:rPr>
              <w:t>24093</w:t>
            </w:r>
          </w:p>
        </w:tc>
      </w:tr>
    </w:tbl>
    <w:p w14:paraId="0B984EB7" w14:textId="77777777" w:rsidR="005B605A" w:rsidRPr="00474548" w:rsidRDefault="005B605A" w:rsidP="008E6F8E">
      <w:pPr>
        <w:ind w:firstLine="709"/>
        <w:jc w:val="both"/>
        <w:rPr>
          <w:sz w:val="22"/>
          <w:szCs w:val="22"/>
          <w:lang w:val="en-US"/>
        </w:rPr>
      </w:pPr>
    </w:p>
    <w:p w14:paraId="2BF18506" w14:textId="16A47679" w:rsidR="005B605A" w:rsidRPr="00474548" w:rsidRDefault="005B605A" w:rsidP="008E6F8E">
      <w:pPr>
        <w:pStyle w:val="Heading1"/>
        <w:numPr>
          <w:ilvl w:val="0"/>
          <w:numId w:val="0"/>
        </w:numPr>
        <w:rPr>
          <w:sz w:val="22"/>
          <w:szCs w:val="22"/>
          <w:lang w:val="en-US"/>
        </w:rPr>
      </w:pPr>
      <w:bookmarkStart w:id="38" w:name="_Toc391473744"/>
      <w:r w:rsidRPr="00474548">
        <w:rPr>
          <w:sz w:val="22"/>
          <w:szCs w:val="22"/>
          <w:lang w:val="en-US"/>
        </w:rPr>
        <w:t xml:space="preserve">5. FINAL CONSIDERATIONS </w:t>
      </w:r>
      <w:bookmarkEnd w:id="38"/>
    </w:p>
    <w:p w14:paraId="6B88EF73" w14:textId="1B3BD0AA" w:rsidR="00294C28" w:rsidRPr="00474548" w:rsidRDefault="001F5B4D" w:rsidP="008E6F8E">
      <w:pPr>
        <w:pStyle w:val="ListParagraph"/>
        <w:tabs>
          <w:tab w:val="left" w:pos="426"/>
        </w:tabs>
        <w:ind w:left="0" w:firstLine="709"/>
        <w:jc w:val="both"/>
        <w:rPr>
          <w:i/>
          <w:color w:val="000000" w:themeColor="text1"/>
          <w:sz w:val="22"/>
          <w:szCs w:val="22"/>
          <w:lang w:val="en-US"/>
        </w:rPr>
      </w:pPr>
      <w:bookmarkStart w:id="39" w:name="_Toc353887223"/>
      <w:bookmarkStart w:id="40" w:name="_Toc391473745"/>
      <w:r w:rsidRPr="00474548">
        <w:rPr>
          <w:color w:val="000000" w:themeColor="text1"/>
          <w:sz w:val="22"/>
          <w:szCs w:val="22"/>
          <w:lang w:val="en-US"/>
        </w:rPr>
        <w:t xml:space="preserve">The </w:t>
      </w:r>
      <w:r w:rsidR="00F91992" w:rsidRPr="00474548">
        <w:rPr>
          <w:color w:val="000000" w:themeColor="text1"/>
          <w:sz w:val="22"/>
          <w:szCs w:val="22"/>
          <w:lang w:val="en-US"/>
        </w:rPr>
        <w:t xml:space="preserve">objective </w:t>
      </w:r>
      <w:r w:rsidRPr="00474548">
        <w:rPr>
          <w:color w:val="000000" w:themeColor="text1"/>
          <w:sz w:val="22"/>
          <w:szCs w:val="22"/>
          <w:lang w:val="en-US"/>
        </w:rPr>
        <w:t xml:space="preserve">of this </w:t>
      </w:r>
      <w:r w:rsidR="00F91992" w:rsidRPr="00474548">
        <w:rPr>
          <w:color w:val="000000" w:themeColor="text1"/>
          <w:sz w:val="22"/>
          <w:szCs w:val="22"/>
          <w:lang w:val="en-US"/>
        </w:rPr>
        <w:t xml:space="preserve">study </w:t>
      </w:r>
      <w:r w:rsidRPr="00474548">
        <w:rPr>
          <w:color w:val="000000" w:themeColor="text1"/>
          <w:sz w:val="22"/>
          <w:szCs w:val="22"/>
          <w:lang w:val="en-US"/>
        </w:rPr>
        <w:t xml:space="preserve">was to verify if the intensity of the </w:t>
      </w:r>
      <w:r w:rsidR="009F2C79" w:rsidRPr="00474548">
        <w:rPr>
          <w:color w:val="000000" w:themeColor="text1"/>
          <w:sz w:val="22"/>
          <w:szCs w:val="22"/>
          <w:lang w:val="en-US"/>
        </w:rPr>
        <w:t xml:space="preserve">content </w:t>
      </w:r>
      <w:r w:rsidRPr="00474548">
        <w:rPr>
          <w:color w:val="000000" w:themeColor="text1"/>
          <w:sz w:val="22"/>
          <w:szCs w:val="22"/>
          <w:lang w:val="en-US"/>
        </w:rPr>
        <w:t xml:space="preserve">in </w:t>
      </w:r>
      <w:r w:rsidR="00F91992" w:rsidRPr="00474548">
        <w:rPr>
          <w:color w:val="000000" w:themeColor="text1"/>
          <w:sz w:val="22"/>
          <w:szCs w:val="22"/>
          <w:lang w:val="en-US"/>
        </w:rPr>
        <w:t>r</w:t>
      </w:r>
      <w:r w:rsidRPr="00474548">
        <w:rPr>
          <w:color w:val="000000" w:themeColor="text1"/>
          <w:sz w:val="22"/>
          <w:szCs w:val="22"/>
          <w:lang w:val="en-US"/>
        </w:rPr>
        <w:t xml:space="preserve">egulatory </w:t>
      </w:r>
      <w:r w:rsidR="00F91992" w:rsidRPr="00474548">
        <w:rPr>
          <w:color w:val="000000" w:themeColor="text1"/>
          <w:sz w:val="22"/>
          <w:szCs w:val="22"/>
          <w:lang w:val="en-US"/>
        </w:rPr>
        <w:t>l</w:t>
      </w:r>
      <w:r w:rsidRPr="00474548">
        <w:rPr>
          <w:color w:val="000000" w:themeColor="text1"/>
          <w:sz w:val="22"/>
          <w:szCs w:val="22"/>
          <w:lang w:val="en-US"/>
        </w:rPr>
        <w:t xml:space="preserve">egislation </w:t>
      </w:r>
      <w:r w:rsidR="00B37B95" w:rsidRPr="00474548">
        <w:rPr>
          <w:color w:val="000000" w:themeColor="text1"/>
          <w:sz w:val="22"/>
          <w:szCs w:val="22"/>
          <w:lang w:val="en-US"/>
        </w:rPr>
        <w:t>affects</w:t>
      </w:r>
      <w:r w:rsidRPr="00474548">
        <w:rPr>
          <w:color w:val="000000" w:themeColor="text1"/>
          <w:sz w:val="22"/>
          <w:szCs w:val="22"/>
          <w:lang w:val="en-US"/>
        </w:rPr>
        <w:t xml:space="preserve"> the Brazilian electricity market</w:t>
      </w:r>
      <w:r w:rsidR="00F91992" w:rsidRPr="00474548">
        <w:rPr>
          <w:color w:val="000000" w:themeColor="text1"/>
          <w:sz w:val="22"/>
          <w:szCs w:val="22"/>
          <w:lang w:val="en-US"/>
        </w:rPr>
        <w:t>. The study also aimed</w:t>
      </w:r>
      <w:r w:rsidRPr="00474548">
        <w:rPr>
          <w:color w:val="000000" w:themeColor="text1"/>
          <w:sz w:val="22"/>
          <w:szCs w:val="22"/>
          <w:lang w:val="en-US"/>
        </w:rPr>
        <w:t xml:space="preserve"> </w:t>
      </w:r>
      <w:r w:rsidR="00B37B95" w:rsidRPr="00474548">
        <w:rPr>
          <w:color w:val="000000" w:themeColor="text1"/>
          <w:sz w:val="22"/>
          <w:szCs w:val="22"/>
          <w:lang w:val="en-US"/>
        </w:rPr>
        <w:t xml:space="preserve">to </w:t>
      </w:r>
      <w:r w:rsidRPr="00474548">
        <w:rPr>
          <w:color w:val="000000" w:themeColor="text1"/>
          <w:sz w:val="22"/>
          <w:szCs w:val="22"/>
          <w:lang w:val="en-US"/>
        </w:rPr>
        <w:t xml:space="preserve">provide an objective basis for measuring regulatory risk, enabling the evaluation </w:t>
      </w:r>
      <w:r w:rsidRPr="00474548">
        <w:rPr>
          <w:i/>
          <w:color w:val="000000" w:themeColor="text1"/>
          <w:sz w:val="22"/>
          <w:szCs w:val="22"/>
          <w:lang w:val="en-US"/>
        </w:rPr>
        <w:t>ex ante</w:t>
      </w:r>
      <w:r w:rsidRPr="00474548">
        <w:rPr>
          <w:color w:val="000000" w:themeColor="text1"/>
          <w:sz w:val="22"/>
          <w:szCs w:val="22"/>
          <w:lang w:val="en-US"/>
        </w:rPr>
        <w:t xml:space="preserve"> of the impact of policies and guidelines </w:t>
      </w:r>
      <w:r w:rsidR="00F91992" w:rsidRPr="00474548">
        <w:rPr>
          <w:color w:val="000000" w:themeColor="text1"/>
          <w:sz w:val="22"/>
          <w:szCs w:val="22"/>
          <w:lang w:val="en-US"/>
        </w:rPr>
        <w:t xml:space="preserve">on </w:t>
      </w:r>
      <w:r w:rsidRPr="00474548">
        <w:rPr>
          <w:color w:val="000000" w:themeColor="text1"/>
          <w:sz w:val="22"/>
          <w:szCs w:val="22"/>
          <w:lang w:val="en-US"/>
        </w:rPr>
        <w:t>the electricity sector according to the intensity of its RC</w:t>
      </w:r>
      <w:r w:rsidR="00F91992" w:rsidRPr="00474548">
        <w:rPr>
          <w:color w:val="000000" w:themeColor="text1"/>
          <w:sz w:val="22"/>
          <w:szCs w:val="22"/>
          <w:lang w:val="en-US"/>
        </w:rPr>
        <w:t>,</w:t>
      </w:r>
      <w:r w:rsidRPr="00474548">
        <w:rPr>
          <w:color w:val="000000" w:themeColor="text1"/>
          <w:sz w:val="22"/>
          <w:szCs w:val="22"/>
          <w:lang w:val="en-US"/>
        </w:rPr>
        <w:t xml:space="preserve"> and also demonstrate the different impact on the </w:t>
      </w:r>
      <w:r w:rsidR="005D2747" w:rsidRPr="00474548">
        <w:rPr>
          <w:color w:val="000000" w:themeColor="text1"/>
          <w:sz w:val="22"/>
          <w:szCs w:val="22"/>
          <w:lang w:val="en-US"/>
        </w:rPr>
        <w:t>stock risks</w:t>
      </w:r>
      <w:r w:rsidRPr="00474548">
        <w:rPr>
          <w:color w:val="000000" w:themeColor="text1"/>
          <w:sz w:val="22"/>
          <w:szCs w:val="22"/>
          <w:lang w:val="en-US"/>
        </w:rPr>
        <w:t xml:space="preserve">: In this context, the following search question was </w:t>
      </w:r>
      <w:r w:rsidR="00F91992" w:rsidRPr="00474548">
        <w:rPr>
          <w:color w:val="000000" w:themeColor="text1"/>
          <w:sz w:val="22"/>
          <w:szCs w:val="22"/>
          <w:lang w:val="en-US"/>
        </w:rPr>
        <w:t>analyzed</w:t>
      </w:r>
      <w:r w:rsidRPr="00474548">
        <w:rPr>
          <w:color w:val="000000" w:themeColor="text1"/>
          <w:sz w:val="22"/>
          <w:szCs w:val="22"/>
          <w:lang w:val="en-US"/>
        </w:rPr>
        <w:t xml:space="preserve">: </w:t>
      </w:r>
      <w:r w:rsidRPr="00474548">
        <w:rPr>
          <w:i/>
          <w:color w:val="000000" w:themeColor="text1"/>
          <w:sz w:val="22"/>
          <w:szCs w:val="22"/>
          <w:lang w:val="en-US"/>
        </w:rPr>
        <w:t xml:space="preserve">Does the intensity of the regulatory </w:t>
      </w:r>
      <w:r w:rsidR="009F2C79" w:rsidRPr="00474548">
        <w:rPr>
          <w:i/>
          <w:color w:val="000000" w:themeColor="text1"/>
          <w:sz w:val="22"/>
          <w:szCs w:val="22"/>
          <w:lang w:val="en-US"/>
        </w:rPr>
        <w:t xml:space="preserve">content </w:t>
      </w:r>
      <w:r w:rsidRPr="00474548">
        <w:rPr>
          <w:i/>
          <w:color w:val="000000" w:themeColor="text1"/>
          <w:sz w:val="22"/>
          <w:szCs w:val="22"/>
          <w:lang w:val="en-US"/>
        </w:rPr>
        <w:t xml:space="preserve">have a different impact on the risk of company shares of the Brazilian </w:t>
      </w:r>
      <w:r w:rsidR="007715D2" w:rsidRPr="00474548">
        <w:rPr>
          <w:i/>
          <w:color w:val="000000" w:themeColor="text1"/>
          <w:sz w:val="22"/>
          <w:szCs w:val="22"/>
          <w:lang w:val="en-US"/>
        </w:rPr>
        <w:t>e</w:t>
      </w:r>
      <w:r w:rsidRPr="00474548">
        <w:rPr>
          <w:i/>
          <w:color w:val="000000" w:themeColor="text1"/>
          <w:sz w:val="22"/>
          <w:szCs w:val="22"/>
          <w:lang w:val="en-US"/>
        </w:rPr>
        <w:t>lectric</w:t>
      </w:r>
      <w:r w:rsidR="00162168" w:rsidRPr="00474548">
        <w:rPr>
          <w:i/>
          <w:color w:val="000000" w:themeColor="text1"/>
          <w:sz w:val="22"/>
          <w:szCs w:val="22"/>
          <w:lang w:val="en-US"/>
        </w:rPr>
        <w:t>ity</w:t>
      </w:r>
      <w:r w:rsidRPr="00474548">
        <w:rPr>
          <w:i/>
          <w:color w:val="000000" w:themeColor="text1"/>
          <w:sz w:val="22"/>
          <w:szCs w:val="22"/>
          <w:lang w:val="en-US"/>
        </w:rPr>
        <w:t xml:space="preserve"> </w:t>
      </w:r>
      <w:r w:rsidR="007715D2" w:rsidRPr="00474548">
        <w:rPr>
          <w:i/>
          <w:color w:val="000000" w:themeColor="text1"/>
          <w:sz w:val="22"/>
          <w:szCs w:val="22"/>
          <w:lang w:val="en-US"/>
        </w:rPr>
        <w:t>e</w:t>
      </w:r>
      <w:r w:rsidRPr="00474548">
        <w:rPr>
          <w:i/>
          <w:color w:val="000000" w:themeColor="text1"/>
          <w:sz w:val="22"/>
          <w:szCs w:val="22"/>
          <w:lang w:val="en-US"/>
        </w:rPr>
        <w:t xml:space="preserve">nergy </w:t>
      </w:r>
      <w:r w:rsidR="007715D2" w:rsidRPr="00474548">
        <w:rPr>
          <w:i/>
          <w:color w:val="000000" w:themeColor="text1"/>
          <w:sz w:val="22"/>
          <w:szCs w:val="22"/>
          <w:lang w:val="en-US"/>
        </w:rPr>
        <w:t>s</w:t>
      </w:r>
      <w:r w:rsidRPr="00474548">
        <w:rPr>
          <w:i/>
          <w:color w:val="000000" w:themeColor="text1"/>
          <w:sz w:val="22"/>
          <w:szCs w:val="22"/>
          <w:lang w:val="en-US"/>
        </w:rPr>
        <w:t>ector?</w:t>
      </w:r>
    </w:p>
    <w:p w14:paraId="7F56F86C" w14:textId="11D2C013" w:rsidR="005B605A" w:rsidRPr="00474548" w:rsidRDefault="005B605A" w:rsidP="008E6F8E">
      <w:pPr>
        <w:autoSpaceDE w:val="0"/>
        <w:autoSpaceDN w:val="0"/>
        <w:adjustRightInd w:val="0"/>
        <w:ind w:firstLine="709"/>
        <w:jc w:val="both"/>
        <w:rPr>
          <w:sz w:val="22"/>
          <w:szCs w:val="22"/>
          <w:lang w:val="en-US"/>
        </w:rPr>
      </w:pPr>
      <w:r w:rsidRPr="00474548">
        <w:rPr>
          <w:sz w:val="22"/>
          <w:szCs w:val="22"/>
          <w:lang w:val="en-US"/>
        </w:rPr>
        <w:t xml:space="preserve">By </w:t>
      </w:r>
      <w:r w:rsidR="00F91992" w:rsidRPr="00474548">
        <w:rPr>
          <w:sz w:val="22"/>
          <w:szCs w:val="22"/>
          <w:lang w:val="en-US"/>
        </w:rPr>
        <w:t>analyzing</w:t>
      </w:r>
      <w:r w:rsidRPr="00474548">
        <w:rPr>
          <w:sz w:val="22"/>
          <w:szCs w:val="22"/>
          <w:lang w:val="en-US"/>
        </w:rPr>
        <w:t xml:space="preserve"> the intensity of the </w:t>
      </w:r>
      <w:r w:rsidR="009F2C79" w:rsidRPr="00474548">
        <w:rPr>
          <w:sz w:val="22"/>
          <w:szCs w:val="22"/>
          <w:lang w:val="en-US"/>
        </w:rPr>
        <w:t xml:space="preserve">content </w:t>
      </w:r>
      <w:r w:rsidRPr="00474548">
        <w:rPr>
          <w:sz w:val="22"/>
          <w:szCs w:val="22"/>
          <w:lang w:val="en-US"/>
        </w:rPr>
        <w:t xml:space="preserve">in the </w:t>
      </w:r>
      <w:r w:rsidR="00F91992" w:rsidRPr="00474548">
        <w:rPr>
          <w:sz w:val="22"/>
          <w:szCs w:val="22"/>
          <w:lang w:val="en-US"/>
        </w:rPr>
        <w:t>r</w:t>
      </w:r>
      <w:r w:rsidRPr="00474548">
        <w:rPr>
          <w:sz w:val="22"/>
          <w:szCs w:val="22"/>
          <w:lang w:val="en-US"/>
        </w:rPr>
        <w:t xml:space="preserve">egulatory </w:t>
      </w:r>
      <w:r w:rsidR="00F91992" w:rsidRPr="00474548">
        <w:rPr>
          <w:sz w:val="22"/>
          <w:szCs w:val="22"/>
          <w:lang w:val="en-US"/>
        </w:rPr>
        <w:t>l</w:t>
      </w:r>
      <w:r w:rsidRPr="00474548">
        <w:rPr>
          <w:sz w:val="22"/>
          <w:szCs w:val="22"/>
          <w:lang w:val="en-US"/>
        </w:rPr>
        <w:t xml:space="preserve">egislation addressed to the </w:t>
      </w:r>
      <w:r w:rsidRPr="00474548">
        <w:rPr>
          <w:sz w:val="22"/>
          <w:szCs w:val="22"/>
          <w:lang w:val="en-US"/>
        </w:rPr>
        <w:lastRenderedPageBreak/>
        <w:t xml:space="preserve">Brazilian electricity market, this article aimed to provide an objective basis for measuring regulatory risk, enabling the evaluation </w:t>
      </w:r>
      <w:r w:rsidRPr="00474548">
        <w:rPr>
          <w:i/>
          <w:sz w:val="22"/>
          <w:szCs w:val="22"/>
          <w:lang w:val="en-US"/>
        </w:rPr>
        <w:t>ex ante</w:t>
      </w:r>
      <w:r w:rsidRPr="00474548">
        <w:rPr>
          <w:sz w:val="22"/>
          <w:szCs w:val="22"/>
          <w:lang w:val="en-US"/>
        </w:rPr>
        <w:t xml:space="preserve"> of the impact of policies and guidelines for the electricity sector, according to the intensity of </w:t>
      </w:r>
      <w:r w:rsidR="005D2747" w:rsidRPr="00474548">
        <w:rPr>
          <w:sz w:val="22"/>
          <w:szCs w:val="22"/>
          <w:lang w:val="en-US"/>
        </w:rPr>
        <w:t xml:space="preserve">their </w:t>
      </w:r>
      <w:r w:rsidRPr="00474548">
        <w:rPr>
          <w:sz w:val="22"/>
          <w:szCs w:val="22"/>
          <w:lang w:val="en-US"/>
        </w:rPr>
        <w:t>contents.</w:t>
      </w:r>
    </w:p>
    <w:p w14:paraId="46854BEF" w14:textId="4C27DDC8" w:rsidR="005B605A" w:rsidRPr="00474548" w:rsidRDefault="005B605A" w:rsidP="008E6F8E">
      <w:pPr>
        <w:ind w:firstLine="709"/>
        <w:jc w:val="both"/>
        <w:rPr>
          <w:color w:val="000000"/>
          <w:sz w:val="22"/>
          <w:szCs w:val="22"/>
          <w:lang w:val="en-US"/>
        </w:rPr>
      </w:pPr>
      <w:r w:rsidRPr="00474548">
        <w:rPr>
          <w:sz w:val="22"/>
          <w:szCs w:val="22"/>
          <w:lang w:val="en-US"/>
        </w:rPr>
        <w:t>The first sequence of tests showed that when classified in event families, the impact is different and gradual.</w:t>
      </w:r>
      <w:r w:rsidR="00DA0684" w:rsidRPr="00474548">
        <w:rPr>
          <w:sz w:val="22"/>
          <w:szCs w:val="22"/>
          <w:lang w:val="en-US"/>
        </w:rPr>
        <w:t xml:space="preserve"> </w:t>
      </w:r>
      <w:r w:rsidRPr="00474548">
        <w:rPr>
          <w:sz w:val="22"/>
          <w:szCs w:val="22"/>
          <w:lang w:val="en-US"/>
        </w:rPr>
        <w:t xml:space="preserve">The impact on the </w:t>
      </w:r>
      <w:r w:rsidR="005D2747" w:rsidRPr="00474548">
        <w:rPr>
          <w:sz w:val="22"/>
          <w:szCs w:val="22"/>
          <w:lang w:val="en-US"/>
        </w:rPr>
        <w:t>stock risks</w:t>
      </w:r>
      <w:r w:rsidRPr="00474548">
        <w:rPr>
          <w:sz w:val="22"/>
          <w:szCs w:val="22"/>
          <w:lang w:val="en-US"/>
        </w:rPr>
        <w:t xml:space="preserve"> of regulatory measures set</w:t>
      </w:r>
      <w:r w:rsidR="005D2747" w:rsidRPr="00474548">
        <w:rPr>
          <w:sz w:val="22"/>
          <w:szCs w:val="22"/>
          <w:lang w:val="en-US"/>
        </w:rPr>
        <w:t xml:space="preserve"> by</w:t>
      </w:r>
      <w:r w:rsidRPr="00474548">
        <w:rPr>
          <w:sz w:val="22"/>
          <w:szCs w:val="22"/>
          <w:lang w:val="en-US"/>
        </w:rPr>
        <w:t xml:space="preserve"> MP/Laws is 3.6%. </w:t>
      </w:r>
      <w:r w:rsidR="005D2747" w:rsidRPr="00474548">
        <w:rPr>
          <w:sz w:val="22"/>
          <w:szCs w:val="22"/>
          <w:lang w:val="en-US"/>
        </w:rPr>
        <w:t xml:space="preserve">The </w:t>
      </w:r>
      <w:r w:rsidRPr="00474548">
        <w:rPr>
          <w:sz w:val="22"/>
          <w:szCs w:val="22"/>
          <w:lang w:val="en-US"/>
        </w:rPr>
        <w:t xml:space="preserve">Other Significant Events family, which generally </w:t>
      </w:r>
      <w:r w:rsidR="005D2747" w:rsidRPr="00474548">
        <w:rPr>
          <w:sz w:val="22"/>
          <w:szCs w:val="22"/>
          <w:lang w:val="en-US"/>
        </w:rPr>
        <w:t xml:space="preserve">has </w:t>
      </w:r>
      <w:r w:rsidR="009460DC" w:rsidRPr="00474548">
        <w:rPr>
          <w:sz w:val="22"/>
          <w:szCs w:val="22"/>
          <w:lang w:val="en-US"/>
        </w:rPr>
        <w:t xml:space="preserve">a </w:t>
      </w:r>
      <w:r w:rsidRPr="00474548">
        <w:rPr>
          <w:sz w:val="22"/>
          <w:szCs w:val="22"/>
          <w:lang w:val="en-US"/>
        </w:rPr>
        <w:t xml:space="preserve">lower intensity of </w:t>
      </w:r>
      <w:r w:rsidR="00765120" w:rsidRPr="00474548">
        <w:rPr>
          <w:sz w:val="22"/>
          <w:szCs w:val="22"/>
          <w:lang w:val="en-US"/>
        </w:rPr>
        <w:t>RC</w:t>
      </w:r>
      <w:r w:rsidRPr="00474548">
        <w:rPr>
          <w:sz w:val="22"/>
          <w:szCs w:val="22"/>
          <w:lang w:val="en-US"/>
        </w:rPr>
        <w:t xml:space="preserve"> when compared to </w:t>
      </w:r>
      <w:r w:rsidR="009460DC" w:rsidRPr="00474548">
        <w:rPr>
          <w:sz w:val="22"/>
          <w:szCs w:val="22"/>
          <w:lang w:val="en-US"/>
        </w:rPr>
        <w:t xml:space="preserve">the </w:t>
      </w:r>
      <w:r w:rsidRPr="00474548">
        <w:rPr>
          <w:sz w:val="22"/>
          <w:szCs w:val="22"/>
          <w:lang w:val="en-US"/>
        </w:rPr>
        <w:t>MP/Laws family</w:t>
      </w:r>
      <w:r w:rsidR="009460DC" w:rsidRPr="00474548">
        <w:rPr>
          <w:sz w:val="22"/>
          <w:szCs w:val="22"/>
          <w:lang w:val="en-US"/>
        </w:rPr>
        <w:t>,</w:t>
      </w:r>
      <w:r w:rsidRPr="00474548">
        <w:rPr>
          <w:sz w:val="22"/>
          <w:szCs w:val="22"/>
          <w:lang w:val="en-US"/>
        </w:rPr>
        <w:t xml:space="preserve"> presented an impact of 3.2%. </w:t>
      </w:r>
      <w:r w:rsidR="009460DC" w:rsidRPr="00474548">
        <w:rPr>
          <w:sz w:val="22"/>
          <w:szCs w:val="22"/>
          <w:lang w:val="en-US"/>
        </w:rPr>
        <w:t xml:space="preserve">The </w:t>
      </w:r>
      <w:r w:rsidRPr="00474548">
        <w:rPr>
          <w:sz w:val="22"/>
          <w:szCs w:val="22"/>
          <w:lang w:val="en-US"/>
        </w:rPr>
        <w:t xml:space="preserve">Other Events family, </w:t>
      </w:r>
      <w:proofErr w:type="gramStart"/>
      <w:r w:rsidRPr="00474548">
        <w:rPr>
          <w:sz w:val="22"/>
          <w:szCs w:val="22"/>
          <w:lang w:val="en-US"/>
        </w:rPr>
        <w:t>whose</w:t>
      </w:r>
      <w:proofErr w:type="gramEnd"/>
      <w:r w:rsidRPr="00474548">
        <w:rPr>
          <w:sz w:val="22"/>
          <w:szCs w:val="22"/>
          <w:lang w:val="en-US"/>
        </w:rPr>
        <w:t xml:space="preserve"> </w:t>
      </w:r>
      <w:r w:rsidR="00765120" w:rsidRPr="00474548">
        <w:rPr>
          <w:sz w:val="22"/>
          <w:szCs w:val="22"/>
          <w:lang w:val="en-US"/>
        </w:rPr>
        <w:t>RC</w:t>
      </w:r>
      <w:r w:rsidR="009F2C79" w:rsidRPr="00474548">
        <w:rPr>
          <w:sz w:val="22"/>
          <w:szCs w:val="22"/>
          <w:lang w:val="en-US"/>
        </w:rPr>
        <w:t xml:space="preserve"> </w:t>
      </w:r>
      <w:r w:rsidRPr="00474548">
        <w:rPr>
          <w:sz w:val="22"/>
          <w:szCs w:val="22"/>
          <w:lang w:val="en-US"/>
        </w:rPr>
        <w:t>is extremely low, presented an impact of 2.2%.</w:t>
      </w:r>
      <w:r w:rsidRPr="00474548">
        <w:rPr>
          <w:color w:val="000000"/>
          <w:sz w:val="22"/>
          <w:szCs w:val="22"/>
          <w:lang w:val="en-US"/>
        </w:rPr>
        <w:t xml:space="preserve"> These results</w:t>
      </w:r>
      <w:r w:rsidR="009460DC" w:rsidRPr="00474548">
        <w:rPr>
          <w:color w:val="000000"/>
          <w:sz w:val="22"/>
          <w:szCs w:val="22"/>
          <w:lang w:val="en-US"/>
        </w:rPr>
        <w:t xml:space="preserve"> lead to the conclusion</w:t>
      </w:r>
      <w:r w:rsidRPr="00474548">
        <w:rPr>
          <w:color w:val="000000"/>
          <w:sz w:val="22"/>
          <w:szCs w:val="22"/>
          <w:lang w:val="en-US"/>
        </w:rPr>
        <w:t xml:space="preserve"> that the </w:t>
      </w:r>
      <w:r w:rsidR="00C4152F" w:rsidRPr="00474548">
        <w:rPr>
          <w:color w:val="000000"/>
          <w:sz w:val="22"/>
          <w:szCs w:val="22"/>
          <w:lang w:val="en-US"/>
        </w:rPr>
        <w:t>RC</w:t>
      </w:r>
      <w:r w:rsidR="009F2C79" w:rsidRPr="00474548">
        <w:rPr>
          <w:color w:val="000000"/>
          <w:sz w:val="22"/>
          <w:szCs w:val="22"/>
          <w:lang w:val="en-US"/>
        </w:rPr>
        <w:t xml:space="preserve"> </w:t>
      </w:r>
      <w:r w:rsidR="009460DC" w:rsidRPr="00474548">
        <w:rPr>
          <w:color w:val="000000"/>
          <w:sz w:val="22"/>
          <w:szCs w:val="22"/>
          <w:lang w:val="en-US"/>
        </w:rPr>
        <w:t>i</w:t>
      </w:r>
      <w:r w:rsidRPr="00474548">
        <w:rPr>
          <w:color w:val="000000"/>
          <w:sz w:val="22"/>
          <w:szCs w:val="22"/>
          <w:lang w:val="en-US"/>
        </w:rPr>
        <w:t xml:space="preserve">ntensity or </w:t>
      </w:r>
      <w:r w:rsidR="009460DC" w:rsidRPr="00474548">
        <w:rPr>
          <w:color w:val="000000"/>
          <w:sz w:val="22"/>
          <w:szCs w:val="22"/>
          <w:lang w:val="en-US"/>
        </w:rPr>
        <w:t>the p</w:t>
      </w:r>
      <w:r w:rsidRPr="00474548">
        <w:rPr>
          <w:color w:val="000000"/>
          <w:sz w:val="22"/>
          <w:szCs w:val="22"/>
          <w:lang w:val="en-US"/>
        </w:rPr>
        <w:t xml:space="preserve">ower present in the </w:t>
      </w:r>
      <w:r w:rsidR="009460DC" w:rsidRPr="00474548">
        <w:rPr>
          <w:color w:val="000000"/>
          <w:sz w:val="22"/>
          <w:szCs w:val="22"/>
          <w:lang w:val="en-US"/>
        </w:rPr>
        <w:t>r</w:t>
      </w:r>
      <w:r w:rsidRPr="00474548">
        <w:rPr>
          <w:color w:val="000000"/>
          <w:sz w:val="22"/>
          <w:szCs w:val="22"/>
          <w:lang w:val="en-US"/>
        </w:rPr>
        <w:t xml:space="preserve">egulatory </w:t>
      </w:r>
      <w:r w:rsidR="009460DC" w:rsidRPr="00474548">
        <w:rPr>
          <w:color w:val="000000"/>
          <w:sz w:val="22"/>
          <w:szCs w:val="22"/>
          <w:lang w:val="en-US"/>
        </w:rPr>
        <w:t>l</w:t>
      </w:r>
      <w:r w:rsidRPr="00474548">
        <w:rPr>
          <w:color w:val="000000"/>
          <w:sz w:val="22"/>
          <w:szCs w:val="22"/>
          <w:lang w:val="en-US"/>
        </w:rPr>
        <w:t>aw addressed to the Brazilian electricity market is significant, and</w:t>
      </w:r>
      <w:r w:rsidR="009460DC" w:rsidRPr="00474548">
        <w:rPr>
          <w:color w:val="000000"/>
          <w:sz w:val="22"/>
          <w:szCs w:val="22"/>
          <w:lang w:val="en-US"/>
        </w:rPr>
        <w:t>,</w:t>
      </w:r>
      <w:r w:rsidRPr="00474548">
        <w:rPr>
          <w:color w:val="000000"/>
          <w:sz w:val="22"/>
          <w:szCs w:val="22"/>
          <w:lang w:val="en-US"/>
        </w:rPr>
        <w:t xml:space="preserve"> therefore</w:t>
      </w:r>
      <w:r w:rsidR="009460DC" w:rsidRPr="00474548">
        <w:rPr>
          <w:color w:val="000000"/>
          <w:sz w:val="22"/>
          <w:szCs w:val="22"/>
          <w:lang w:val="en-US"/>
        </w:rPr>
        <w:t>,</w:t>
      </w:r>
      <w:r w:rsidRPr="00474548">
        <w:rPr>
          <w:color w:val="000000"/>
          <w:sz w:val="22"/>
          <w:szCs w:val="22"/>
          <w:lang w:val="en-US"/>
        </w:rPr>
        <w:t xml:space="preserve"> should be considered </w:t>
      </w:r>
      <w:r w:rsidR="009460DC" w:rsidRPr="00474548">
        <w:rPr>
          <w:color w:val="000000"/>
          <w:sz w:val="22"/>
          <w:szCs w:val="22"/>
          <w:lang w:val="en-US"/>
        </w:rPr>
        <w:t>the</w:t>
      </w:r>
      <w:r w:rsidRPr="00474548">
        <w:rPr>
          <w:color w:val="000000"/>
          <w:sz w:val="22"/>
          <w:szCs w:val="22"/>
          <w:lang w:val="en-US"/>
        </w:rPr>
        <w:t xml:space="preserve"> first analysis to estimate such risk.</w:t>
      </w:r>
    </w:p>
    <w:p w14:paraId="208B6F1A" w14:textId="74A9F61E" w:rsidR="009B39BF" w:rsidRPr="00474548" w:rsidRDefault="005B605A" w:rsidP="008E6F8E">
      <w:pPr>
        <w:autoSpaceDE w:val="0"/>
        <w:autoSpaceDN w:val="0"/>
        <w:adjustRightInd w:val="0"/>
        <w:ind w:firstLine="709"/>
        <w:jc w:val="both"/>
        <w:rPr>
          <w:sz w:val="22"/>
          <w:szCs w:val="22"/>
          <w:lang w:val="en-US"/>
        </w:rPr>
      </w:pPr>
      <w:r w:rsidRPr="00474548">
        <w:rPr>
          <w:color w:val="000000"/>
          <w:sz w:val="22"/>
          <w:szCs w:val="22"/>
          <w:lang w:val="en-US"/>
        </w:rPr>
        <w:t>However, the individual analys</w:t>
      </w:r>
      <w:r w:rsidR="009460DC" w:rsidRPr="00474548">
        <w:rPr>
          <w:color w:val="000000"/>
          <w:sz w:val="22"/>
          <w:szCs w:val="22"/>
          <w:lang w:val="en-US"/>
        </w:rPr>
        <w:t>e</w:t>
      </w:r>
      <w:r w:rsidRPr="00474548">
        <w:rPr>
          <w:color w:val="000000"/>
          <w:sz w:val="22"/>
          <w:szCs w:val="22"/>
          <w:lang w:val="en-US"/>
        </w:rPr>
        <w:t xml:space="preserve">s of different types of </w:t>
      </w:r>
      <w:r w:rsidR="009460DC" w:rsidRPr="00474548">
        <w:rPr>
          <w:color w:val="000000"/>
          <w:sz w:val="22"/>
          <w:szCs w:val="22"/>
          <w:lang w:val="en-US"/>
        </w:rPr>
        <w:t>e</w:t>
      </w:r>
      <w:r w:rsidRPr="00474548">
        <w:rPr>
          <w:color w:val="000000"/>
          <w:sz w:val="22"/>
          <w:szCs w:val="22"/>
          <w:lang w:val="en-US"/>
        </w:rPr>
        <w:t xml:space="preserve">vents, rated according to the </w:t>
      </w:r>
      <w:r w:rsidR="00C4152F" w:rsidRPr="00474548">
        <w:rPr>
          <w:color w:val="000000"/>
          <w:sz w:val="22"/>
          <w:szCs w:val="22"/>
          <w:lang w:val="en-US"/>
        </w:rPr>
        <w:t>RC</w:t>
      </w:r>
      <w:r w:rsidR="009F2C79" w:rsidRPr="00474548">
        <w:rPr>
          <w:color w:val="000000"/>
          <w:sz w:val="22"/>
          <w:szCs w:val="22"/>
          <w:lang w:val="en-US"/>
        </w:rPr>
        <w:t xml:space="preserve"> </w:t>
      </w:r>
      <w:r w:rsidR="009460DC" w:rsidRPr="00474548">
        <w:rPr>
          <w:color w:val="000000"/>
          <w:sz w:val="22"/>
          <w:szCs w:val="22"/>
          <w:lang w:val="en-US"/>
        </w:rPr>
        <w:t>i</w:t>
      </w:r>
      <w:r w:rsidRPr="00474548">
        <w:rPr>
          <w:color w:val="000000"/>
          <w:sz w:val="22"/>
          <w:szCs w:val="22"/>
          <w:lang w:val="en-US"/>
        </w:rPr>
        <w:t xml:space="preserve">ntensity, also show a different impact on the </w:t>
      </w:r>
      <w:r w:rsidR="005D2747" w:rsidRPr="00474548">
        <w:rPr>
          <w:color w:val="000000"/>
          <w:sz w:val="22"/>
          <w:szCs w:val="22"/>
          <w:lang w:val="en-US"/>
        </w:rPr>
        <w:t>stock risks</w:t>
      </w:r>
      <w:r w:rsidRPr="00474548">
        <w:rPr>
          <w:color w:val="000000"/>
          <w:sz w:val="22"/>
          <w:szCs w:val="22"/>
          <w:lang w:val="en-US"/>
        </w:rPr>
        <w:t xml:space="preserve">. </w:t>
      </w:r>
      <w:r w:rsidRPr="00474548">
        <w:rPr>
          <w:sz w:val="22"/>
          <w:szCs w:val="22"/>
          <w:lang w:val="en-US"/>
        </w:rPr>
        <w:t xml:space="preserve">Strong and </w:t>
      </w:r>
      <w:r w:rsidR="009460DC" w:rsidRPr="00474548">
        <w:rPr>
          <w:sz w:val="22"/>
          <w:szCs w:val="22"/>
          <w:lang w:val="en-US"/>
        </w:rPr>
        <w:t>m</w:t>
      </w:r>
      <w:r w:rsidRPr="00474548">
        <w:rPr>
          <w:sz w:val="22"/>
          <w:szCs w:val="22"/>
          <w:lang w:val="en-US"/>
        </w:rPr>
        <w:t xml:space="preserve">edium </w:t>
      </w:r>
      <w:r w:rsidR="009460DC" w:rsidRPr="00474548">
        <w:rPr>
          <w:sz w:val="22"/>
          <w:szCs w:val="22"/>
          <w:lang w:val="en-US"/>
        </w:rPr>
        <w:t>i</w:t>
      </w:r>
      <w:r w:rsidRPr="00474548">
        <w:rPr>
          <w:sz w:val="22"/>
          <w:szCs w:val="22"/>
          <w:lang w:val="en-US"/>
        </w:rPr>
        <w:t xml:space="preserve">ntensity events </w:t>
      </w:r>
      <w:r w:rsidR="005D2747" w:rsidRPr="00474548">
        <w:rPr>
          <w:sz w:val="22"/>
          <w:szCs w:val="22"/>
          <w:lang w:val="en-US"/>
        </w:rPr>
        <w:t>have</w:t>
      </w:r>
      <w:r w:rsidRPr="00474548">
        <w:rPr>
          <w:sz w:val="22"/>
          <w:szCs w:val="22"/>
          <w:lang w:val="en-US"/>
        </w:rPr>
        <w:t xml:space="preserve"> </w:t>
      </w:r>
      <w:r w:rsidR="009460DC" w:rsidRPr="00474548">
        <w:rPr>
          <w:sz w:val="22"/>
          <w:szCs w:val="22"/>
          <w:lang w:val="en-US"/>
        </w:rPr>
        <w:t xml:space="preserve">a </w:t>
      </w:r>
      <w:r w:rsidRPr="00474548">
        <w:rPr>
          <w:sz w:val="22"/>
          <w:szCs w:val="22"/>
          <w:lang w:val="en-US"/>
        </w:rPr>
        <w:t xml:space="preserve">greater impact on the </w:t>
      </w:r>
      <w:r w:rsidR="005D2747" w:rsidRPr="00474548">
        <w:rPr>
          <w:sz w:val="22"/>
          <w:szCs w:val="22"/>
          <w:lang w:val="en-US"/>
        </w:rPr>
        <w:t>stock risks</w:t>
      </w:r>
      <w:r w:rsidRPr="00474548">
        <w:rPr>
          <w:sz w:val="22"/>
          <w:szCs w:val="22"/>
          <w:lang w:val="en-US"/>
        </w:rPr>
        <w:t xml:space="preserve"> comprising the Brazilian electricity sector. Conversely, institutional or policy decisions addressed to the electricity sector presenting </w:t>
      </w:r>
      <w:r w:rsidR="009460DC" w:rsidRPr="00474548">
        <w:rPr>
          <w:sz w:val="22"/>
          <w:szCs w:val="22"/>
          <w:lang w:val="en-US"/>
        </w:rPr>
        <w:t>l</w:t>
      </w:r>
      <w:r w:rsidR="005D2747" w:rsidRPr="00474548">
        <w:rPr>
          <w:sz w:val="22"/>
          <w:szCs w:val="22"/>
          <w:lang w:val="en-US"/>
        </w:rPr>
        <w:t xml:space="preserve">ow </w:t>
      </w:r>
      <w:r w:rsidR="009460DC" w:rsidRPr="00474548">
        <w:rPr>
          <w:sz w:val="22"/>
          <w:szCs w:val="22"/>
          <w:lang w:val="en-US"/>
        </w:rPr>
        <w:t>i</w:t>
      </w:r>
      <w:r w:rsidR="005D2747" w:rsidRPr="00474548">
        <w:rPr>
          <w:sz w:val="22"/>
          <w:szCs w:val="22"/>
          <w:lang w:val="en-US"/>
        </w:rPr>
        <w:t xml:space="preserve">ntensity </w:t>
      </w:r>
      <w:r w:rsidR="00765120" w:rsidRPr="00474548">
        <w:rPr>
          <w:sz w:val="22"/>
          <w:szCs w:val="22"/>
          <w:lang w:val="en-US"/>
        </w:rPr>
        <w:t>RC</w:t>
      </w:r>
      <w:r w:rsidR="009F2C79" w:rsidRPr="00474548">
        <w:rPr>
          <w:sz w:val="22"/>
          <w:szCs w:val="22"/>
          <w:lang w:val="en-US"/>
        </w:rPr>
        <w:t xml:space="preserve"> </w:t>
      </w:r>
      <w:r w:rsidRPr="00474548">
        <w:rPr>
          <w:sz w:val="22"/>
          <w:szCs w:val="22"/>
          <w:lang w:val="en-US"/>
        </w:rPr>
        <w:t xml:space="preserve">are not perceived </w:t>
      </w:r>
      <w:r w:rsidR="00765120" w:rsidRPr="00474548">
        <w:rPr>
          <w:sz w:val="22"/>
          <w:szCs w:val="22"/>
          <w:lang w:val="en-US"/>
        </w:rPr>
        <w:t xml:space="preserve">as </w:t>
      </w:r>
      <w:r w:rsidRPr="00474548">
        <w:rPr>
          <w:sz w:val="22"/>
          <w:szCs w:val="22"/>
          <w:lang w:val="en-US"/>
        </w:rPr>
        <w:t xml:space="preserve">significant </w:t>
      </w:r>
      <w:r w:rsidR="009460DC" w:rsidRPr="00474548">
        <w:rPr>
          <w:sz w:val="22"/>
          <w:szCs w:val="22"/>
          <w:lang w:val="en-US"/>
        </w:rPr>
        <w:t xml:space="preserve">in </w:t>
      </w:r>
      <w:r w:rsidRPr="00474548">
        <w:rPr>
          <w:sz w:val="22"/>
          <w:szCs w:val="22"/>
          <w:lang w:val="en-US"/>
        </w:rPr>
        <w:t xml:space="preserve">the market. </w:t>
      </w:r>
    </w:p>
    <w:p w14:paraId="2C1056D9" w14:textId="26A64920" w:rsidR="005B605A" w:rsidRPr="00474548" w:rsidRDefault="009B39BF" w:rsidP="008E6F8E">
      <w:pPr>
        <w:autoSpaceDE w:val="0"/>
        <w:autoSpaceDN w:val="0"/>
        <w:adjustRightInd w:val="0"/>
        <w:ind w:firstLine="709"/>
        <w:jc w:val="both"/>
        <w:rPr>
          <w:sz w:val="22"/>
          <w:szCs w:val="22"/>
          <w:lang w:val="en-US"/>
        </w:rPr>
      </w:pPr>
      <w:r w:rsidRPr="00474548">
        <w:rPr>
          <w:sz w:val="22"/>
          <w:szCs w:val="22"/>
          <w:lang w:val="en-US"/>
        </w:rPr>
        <w:t xml:space="preserve">As </w:t>
      </w:r>
      <w:r w:rsidR="005D2747" w:rsidRPr="00474548">
        <w:rPr>
          <w:sz w:val="22"/>
          <w:szCs w:val="22"/>
          <w:lang w:val="en-US"/>
        </w:rPr>
        <w:t xml:space="preserve">a </w:t>
      </w:r>
      <w:r w:rsidRPr="00474548">
        <w:rPr>
          <w:sz w:val="22"/>
          <w:szCs w:val="22"/>
          <w:lang w:val="en-US"/>
        </w:rPr>
        <w:t xml:space="preserve">research contribution, the results presented here confirm that the regulatory events must be </w:t>
      </w:r>
      <w:r w:rsidR="005D2747" w:rsidRPr="00474548">
        <w:rPr>
          <w:sz w:val="22"/>
          <w:szCs w:val="22"/>
          <w:lang w:val="en-US"/>
        </w:rPr>
        <w:t>differentiated by type</w:t>
      </w:r>
      <w:r w:rsidRPr="00474548">
        <w:rPr>
          <w:sz w:val="22"/>
          <w:szCs w:val="22"/>
          <w:lang w:val="en-US"/>
        </w:rPr>
        <w:t xml:space="preserve">, since they have different effects on regulatory risk. </w:t>
      </w:r>
      <w:r w:rsidRPr="00474548">
        <w:rPr>
          <w:color w:val="000000"/>
          <w:sz w:val="22"/>
          <w:szCs w:val="22"/>
          <w:lang w:val="en-US"/>
        </w:rPr>
        <w:t xml:space="preserve">In this context, the fact that the </w:t>
      </w:r>
      <w:r w:rsidR="009460DC" w:rsidRPr="00474548">
        <w:rPr>
          <w:color w:val="000000"/>
          <w:sz w:val="22"/>
          <w:szCs w:val="22"/>
          <w:lang w:val="en-US"/>
        </w:rPr>
        <w:t>r</w:t>
      </w:r>
      <w:r w:rsidRPr="00474548">
        <w:rPr>
          <w:color w:val="000000"/>
          <w:sz w:val="22"/>
          <w:szCs w:val="22"/>
          <w:lang w:val="en-US"/>
        </w:rPr>
        <w:t>egulat</w:t>
      </w:r>
      <w:r w:rsidR="009460DC" w:rsidRPr="00474548">
        <w:rPr>
          <w:color w:val="000000"/>
          <w:sz w:val="22"/>
          <w:szCs w:val="22"/>
          <w:lang w:val="en-US"/>
        </w:rPr>
        <w:t>ory</w:t>
      </w:r>
      <w:r w:rsidRPr="00474548">
        <w:rPr>
          <w:color w:val="000000"/>
          <w:sz w:val="22"/>
          <w:szCs w:val="22"/>
          <w:lang w:val="en-US"/>
        </w:rPr>
        <w:t xml:space="preserve"> </w:t>
      </w:r>
      <w:r w:rsidR="009460DC" w:rsidRPr="00474548">
        <w:rPr>
          <w:color w:val="000000"/>
          <w:sz w:val="22"/>
          <w:szCs w:val="22"/>
          <w:lang w:val="en-US"/>
        </w:rPr>
        <w:t>l</w:t>
      </w:r>
      <w:r w:rsidRPr="00474548">
        <w:rPr>
          <w:color w:val="000000"/>
          <w:sz w:val="22"/>
          <w:szCs w:val="22"/>
          <w:lang w:val="en-US"/>
        </w:rPr>
        <w:t xml:space="preserve">aws of </w:t>
      </w:r>
      <w:r w:rsidR="009460DC" w:rsidRPr="00474548">
        <w:rPr>
          <w:color w:val="000000"/>
          <w:sz w:val="22"/>
          <w:szCs w:val="22"/>
          <w:lang w:val="en-US"/>
        </w:rPr>
        <w:t>l</w:t>
      </w:r>
      <w:r w:rsidRPr="00474548">
        <w:rPr>
          <w:color w:val="000000"/>
          <w:sz w:val="22"/>
          <w:szCs w:val="22"/>
          <w:lang w:val="en-US"/>
        </w:rPr>
        <w:t xml:space="preserve">ow </w:t>
      </w:r>
      <w:r w:rsidR="009460DC" w:rsidRPr="00474548">
        <w:rPr>
          <w:color w:val="000000"/>
          <w:sz w:val="22"/>
          <w:szCs w:val="22"/>
          <w:lang w:val="en-US"/>
        </w:rPr>
        <w:t>c</w:t>
      </w:r>
      <w:r w:rsidR="009F2C79" w:rsidRPr="00474548">
        <w:rPr>
          <w:color w:val="000000"/>
          <w:sz w:val="22"/>
          <w:szCs w:val="22"/>
          <w:lang w:val="en-US"/>
        </w:rPr>
        <w:t xml:space="preserve">ontent </w:t>
      </w:r>
      <w:r w:rsidR="009460DC" w:rsidRPr="00474548">
        <w:rPr>
          <w:color w:val="000000"/>
          <w:sz w:val="22"/>
          <w:szCs w:val="22"/>
          <w:lang w:val="en-US"/>
        </w:rPr>
        <w:t>i</w:t>
      </w:r>
      <w:r w:rsidRPr="00474548">
        <w:rPr>
          <w:color w:val="000000"/>
          <w:sz w:val="22"/>
          <w:szCs w:val="22"/>
          <w:lang w:val="en-US"/>
        </w:rPr>
        <w:t xml:space="preserve">ntensity do not emerge </w:t>
      </w:r>
      <w:r w:rsidR="005D2747" w:rsidRPr="00474548">
        <w:rPr>
          <w:color w:val="000000"/>
          <w:sz w:val="22"/>
          <w:szCs w:val="22"/>
          <w:lang w:val="en-US"/>
        </w:rPr>
        <w:t xml:space="preserve">as </w:t>
      </w:r>
      <w:r w:rsidRPr="00474548">
        <w:rPr>
          <w:color w:val="000000"/>
          <w:sz w:val="22"/>
          <w:szCs w:val="22"/>
          <w:lang w:val="en-US"/>
        </w:rPr>
        <w:t xml:space="preserve">significant does not indicate that such effects </w:t>
      </w:r>
      <w:r w:rsidR="005D2747" w:rsidRPr="00474548">
        <w:rPr>
          <w:color w:val="000000"/>
          <w:sz w:val="22"/>
          <w:szCs w:val="22"/>
          <w:lang w:val="en-US"/>
        </w:rPr>
        <w:t xml:space="preserve">do not </w:t>
      </w:r>
      <w:r w:rsidRPr="00474548">
        <w:rPr>
          <w:color w:val="000000"/>
          <w:sz w:val="22"/>
          <w:szCs w:val="22"/>
          <w:lang w:val="en-US"/>
        </w:rPr>
        <w:t xml:space="preserve">exist, given that they may be </w:t>
      </w:r>
      <w:r w:rsidR="00EC5558" w:rsidRPr="00474548">
        <w:rPr>
          <w:color w:val="000000"/>
          <w:sz w:val="22"/>
          <w:szCs w:val="22"/>
          <w:lang w:val="en-US"/>
        </w:rPr>
        <w:t>eclipsed</w:t>
      </w:r>
      <w:r w:rsidRPr="00474548">
        <w:rPr>
          <w:color w:val="000000"/>
          <w:sz w:val="22"/>
          <w:szCs w:val="22"/>
          <w:lang w:val="en-US"/>
        </w:rPr>
        <w:t xml:space="preserve"> by other market </w:t>
      </w:r>
      <w:r w:rsidR="009460DC" w:rsidRPr="00474548">
        <w:rPr>
          <w:color w:val="000000"/>
          <w:sz w:val="22"/>
          <w:szCs w:val="22"/>
          <w:lang w:val="en-US"/>
        </w:rPr>
        <w:t xml:space="preserve">or regulatory </w:t>
      </w:r>
      <w:r w:rsidRPr="00474548">
        <w:rPr>
          <w:color w:val="000000"/>
          <w:sz w:val="22"/>
          <w:szCs w:val="22"/>
          <w:lang w:val="en-US"/>
        </w:rPr>
        <w:t xml:space="preserve">disruptions. </w:t>
      </w:r>
      <w:r w:rsidRPr="00474548">
        <w:rPr>
          <w:sz w:val="22"/>
          <w:szCs w:val="22"/>
          <w:lang w:val="en-US"/>
        </w:rPr>
        <w:t xml:space="preserve">Moreover, search results show that the </w:t>
      </w:r>
      <w:r w:rsidR="00C4152F" w:rsidRPr="00474548">
        <w:rPr>
          <w:sz w:val="22"/>
          <w:szCs w:val="22"/>
          <w:lang w:val="en-US"/>
        </w:rPr>
        <w:t>RC</w:t>
      </w:r>
      <w:r w:rsidR="009F2C79" w:rsidRPr="00474548">
        <w:rPr>
          <w:sz w:val="22"/>
          <w:szCs w:val="22"/>
          <w:lang w:val="en-US"/>
        </w:rPr>
        <w:t xml:space="preserve"> </w:t>
      </w:r>
      <w:r w:rsidR="009460DC" w:rsidRPr="00474548">
        <w:rPr>
          <w:sz w:val="22"/>
          <w:szCs w:val="22"/>
          <w:lang w:val="en-US"/>
        </w:rPr>
        <w:t>i</w:t>
      </w:r>
      <w:r w:rsidRPr="00474548">
        <w:rPr>
          <w:sz w:val="22"/>
          <w:szCs w:val="22"/>
          <w:lang w:val="en-US"/>
        </w:rPr>
        <w:t xml:space="preserve">ntensity is important, and in this case, the higher </w:t>
      </w:r>
      <w:r w:rsidR="00EC5558" w:rsidRPr="00474548">
        <w:rPr>
          <w:sz w:val="22"/>
          <w:szCs w:val="22"/>
          <w:lang w:val="en-US"/>
        </w:rPr>
        <w:t>the intensity of</w:t>
      </w:r>
      <w:r w:rsidRPr="00474548">
        <w:rPr>
          <w:sz w:val="22"/>
          <w:szCs w:val="22"/>
          <w:lang w:val="en-US"/>
        </w:rPr>
        <w:t xml:space="preserve"> </w:t>
      </w:r>
      <w:r w:rsidR="00765120" w:rsidRPr="00474548">
        <w:rPr>
          <w:sz w:val="22"/>
          <w:szCs w:val="22"/>
          <w:lang w:val="en-US"/>
        </w:rPr>
        <w:t>the RC</w:t>
      </w:r>
      <w:r w:rsidRPr="00474548">
        <w:rPr>
          <w:sz w:val="22"/>
          <w:szCs w:val="22"/>
          <w:lang w:val="en-US"/>
        </w:rPr>
        <w:t xml:space="preserve">, the greater the impact of the potential risk on the </w:t>
      </w:r>
      <w:r w:rsidR="009460DC" w:rsidRPr="00474548">
        <w:rPr>
          <w:sz w:val="22"/>
          <w:szCs w:val="22"/>
          <w:lang w:val="en-US"/>
        </w:rPr>
        <w:t xml:space="preserve">shares of companies in the </w:t>
      </w:r>
      <w:r w:rsidRPr="00474548">
        <w:rPr>
          <w:sz w:val="22"/>
          <w:szCs w:val="22"/>
          <w:lang w:val="en-US"/>
        </w:rPr>
        <w:t xml:space="preserve">regulated sectors. For future </w:t>
      </w:r>
      <w:r w:rsidR="009460DC" w:rsidRPr="00474548">
        <w:rPr>
          <w:sz w:val="22"/>
          <w:szCs w:val="22"/>
          <w:lang w:val="en-US"/>
        </w:rPr>
        <w:t>research</w:t>
      </w:r>
      <w:r w:rsidRPr="00474548">
        <w:rPr>
          <w:sz w:val="22"/>
          <w:szCs w:val="22"/>
          <w:lang w:val="en-US"/>
        </w:rPr>
        <w:t>, we suggest the analysis of the effect of regulatory events in other energy segments such as oil and gas.</w:t>
      </w:r>
    </w:p>
    <w:p w14:paraId="139A134C" w14:textId="77777777" w:rsidR="005367CE" w:rsidRPr="00474548" w:rsidRDefault="005367CE" w:rsidP="008E6F8E">
      <w:pPr>
        <w:autoSpaceDE w:val="0"/>
        <w:autoSpaceDN w:val="0"/>
        <w:adjustRightInd w:val="0"/>
        <w:jc w:val="both"/>
        <w:rPr>
          <w:sz w:val="22"/>
          <w:szCs w:val="22"/>
          <w:lang w:val="en-US"/>
        </w:rPr>
      </w:pPr>
    </w:p>
    <w:bookmarkEnd w:id="39"/>
    <w:bookmarkEnd w:id="40"/>
    <w:p w14:paraId="0D460D3D" w14:textId="0024EC19" w:rsidR="001A5B8B" w:rsidRPr="00474548" w:rsidRDefault="001F5B4D" w:rsidP="001809F1">
      <w:pPr>
        <w:pStyle w:val="Heading1"/>
        <w:numPr>
          <w:ilvl w:val="0"/>
          <w:numId w:val="0"/>
        </w:numPr>
        <w:rPr>
          <w:sz w:val="22"/>
          <w:szCs w:val="22"/>
          <w:lang w:val="en-US"/>
        </w:rPr>
      </w:pPr>
      <w:r w:rsidRPr="00474548">
        <w:rPr>
          <w:sz w:val="22"/>
          <w:szCs w:val="22"/>
          <w:lang w:val="en-US"/>
        </w:rPr>
        <w:t>REFERENCES</w:t>
      </w:r>
    </w:p>
    <w:p w14:paraId="139630EA" w14:textId="7DD59553" w:rsidR="008353F8" w:rsidRPr="00474548" w:rsidRDefault="008353F8" w:rsidP="005D1E75">
      <w:pPr>
        <w:ind w:left="720" w:hanging="720"/>
        <w:jc w:val="both"/>
        <w:rPr>
          <w:sz w:val="22"/>
          <w:szCs w:val="22"/>
          <w:lang w:val="en-US"/>
        </w:rPr>
      </w:pPr>
      <w:proofErr w:type="spellStart"/>
      <w:r w:rsidRPr="00474548">
        <w:rPr>
          <w:sz w:val="22"/>
          <w:szCs w:val="22"/>
          <w:lang w:val="en-US"/>
        </w:rPr>
        <w:t>Acha</w:t>
      </w:r>
      <w:r w:rsidR="005D1E75" w:rsidRPr="00474548">
        <w:rPr>
          <w:sz w:val="22"/>
          <w:szCs w:val="22"/>
          <w:lang w:val="en-US"/>
        </w:rPr>
        <w:t>rya</w:t>
      </w:r>
      <w:proofErr w:type="spellEnd"/>
      <w:r w:rsidR="005D1E75" w:rsidRPr="00474548">
        <w:rPr>
          <w:sz w:val="22"/>
          <w:szCs w:val="22"/>
          <w:lang w:val="en-US"/>
        </w:rPr>
        <w:t xml:space="preserve">, V., Engle, R., </w:t>
      </w:r>
      <w:proofErr w:type="spellStart"/>
      <w:r w:rsidR="005D1E75" w:rsidRPr="00474548">
        <w:rPr>
          <w:sz w:val="22"/>
          <w:szCs w:val="22"/>
          <w:lang w:val="en-US"/>
        </w:rPr>
        <w:t>Pierret</w:t>
      </w:r>
      <w:proofErr w:type="spellEnd"/>
      <w:r w:rsidR="005D1E75" w:rsidRPr="00474548">
        <w:rPr>
          <w:sz w:val="22"/>
          <w:szCs w:val="22"/>
          <w:lang w:val="en-US"/>
        </w:rPr>
        <w:t>, D.</w:t>
      </w:r>
      <w:r w:rsidRPr="00474548">
        <w:rPr>
          <w:sz w:val="22"/>
          <w:szCs w:val="22"/>
          <w:lang w:val="en-US"/>
        </w:rPr>
        <w:t xml:space="preserve"> </w:t>
      </w:r>
      <w:r w:rsidR="005D1E75" w:rsidRPr="00474548">
        <w:rPr>
          <w:sz w:val="22"/>
          <w:szCs w:val="22"/>
          <w:lang w:val="en-US"/>
        </w:rPr>
        <w:t>(2014),</w:t>
      </w:r>
      <w:r w:rsidRPr="00474548">
        <w:rPr>
          <w:sz w:val="22"/>
          <w:szCs w:val="22"/>
          <w:lang w:val="en-US"/>
        </w:rPr>
        <w:t xml:space="preserve"> </w:t>
      </w:r>
      <w:r w:rsidRPr="00474548">
        <w:rPr>
          <w:i/>
          <w:sz w:val="22"/>
          <w:szCs w:val="22"/>
          <w:lang w:val="en-US"/>
        </w:rPr>
        <w:t>Testing macro prudential stress tests: The risk of regulatory risk weights</w:t>
      </w:r>
      <w:r w:rsidRPr="00474548">
        <w:rPr>
          <w:sz w:val="22"/>
          <w:szCs w:val="22"/>
          <w:lang w:val="en-US"/>
        </w:rPr>
        <w:t>, Journal of Monetary Economics, 65, 36-53.</w:t>
      </w:r>
    </w:p>
    <w:p w14:paraId="03DF4C04" w14:textId="6B57551D" w:rsidR="008353F8" w:rsidRPr="00474548" w:rsidRDefault="008353F8" w:rsidP="005D1E75">
      <w:pPr>
        <w:ind w:left="720" w:hanging="720"/>
        <w:jc w:val="both"/>
        <w:rPr>
          <w:sz w:val="22"/>
          <w:szCs w:val="22"/>
          <w:lang w:val="en-US"/>
        </w:rPr>
      </w:pPr>
      <w:r w:rsidRPr="00474548">
        <w:rPr>
          <w:iCs/>
          <w:sz w:val="22"/>
          <w:szCs w:val="22"/>
          <w:lang w:val="en-US"/>
        </w:rPr>
        <w:t>Alexa</w:t>
      </w:r>
      <w:r w:rsidR="005D1E75" w:rsidRPr="00474548">
        <w:rPr>
          <w:iCs/>
          <w:sz w:val="22"/>
          <w:szCs w:val="22"/>
          <w:lang w:val="en-US"/>
        </w:rPr>
        <w:t>nder, I., Mayer, C., Weeds, H. (</w:t>
      </w:r>
      <w:r w:rsidRPr="00474548">
        <w:rPr>
          <w:iCs/>
          <w:sz w:val="22"/>
          <w:szCs w:val="22"/>
          <w:lang w:val="en-US"/>
        </w:rPr>
        <w:t>1996</w:t>
      </w:r>
      <w:r w:rsidR="005D1E75" w:rsidRPr="00474548">
        <w:rPr>
          <w:iCs/>
          <w:sz w:val="22"/>
          <w:szCs w:val="22"/>
          <w:lang w:val="en-US"/>
        </w:rPr>
        <w:t>),</w:t>
      </w:r>
      <w:r w:rsidRPr="00474548">
        <w:rPr>
          <w:i/>
          <w:iCs/>
          <w:sz w:val="22"/>
          <w:szCs w:val="22"/>
          <w:lang w:val="en-US"/>
        </w:rPr>
        <w:t xml:space="preserve"> </w:t>
      </w:r>
      <w:r w:rsidRPr="00474548">
        <w:rPr>
          <w:i/>
          <w:sz w:val="22"/>
          <w:szCs w:val="22"/>
          <w:lang w:val="en-US"/>
        </w:rPr>
        <w:t>Regulatory Structure and Risk and Infrastructure Firms: An International Comparison</w:t>
      </w:r>
      <w:r w:rsidRPr="00474548">
        <w:rPr>
          <w:sz w:val="22"/>
          <w:szCs w:val="22"/>
          <w:lang w:val="en-US"/>
        </w:rPr>
        <w:t>. Policy Research Working Paper 1698. The World Bank. Private Sector Development Department.</w:t>
      </w:r>
    </w:p>
    <w:p w14:paraId="267435CD" w14:textId="4FF74B76" w:rsidR="008353F8" w:rsidRPr="00474548" w:rsidRDefault="005D1E75" w:rsidP="005D1E75">
      <w:pPr>
        <w:suppressAutoHyphens w:val="0"/>
        <w:autoSpaceDE w:val="0"/>
        <w:autoSpaceDN w:val="0"/>
        <w:adjustRightInd w:val="0"/>
        <w:ind w:left="720" w:hanging="720"/>
        <w:jc w:val="both"/>
        <w:rPr>
          <w:rFonts w:eastAsiaTheme="minorEastAsia"/>
          <w:kern w:val="0"/>
          <w:sz w:val="22"/>
          <w:szCs w:val="22"/>
          <w:lang w:val="en-US" w:eastAsia="en-US"/>
        </w:rPr>
      </w:pPr>
      <w:r w:rsidRPr="00474548">
        <w:rPr>
          <w:rFonts w:eastAsiaTheme="minorEastAsia"/>
          <w:kern w:val="0"/>
          <w:sz w:val="22"/>
          <w:szCs w:val="22"/>
          <w:lang w:val="en-US" w:eastAsia="en-US"/>
        </w:rPr>
        <w:t xml:space="preserve">ANEEL. (2008), </w:t>
      </w:r>
      <w:proofErr w:type="spellStart"/>
      <w:r w:rsidR="008353F8" w:rsidRPr="00474548">
        <w:rPr>
          <w:rFonts w:eastAsiaTheme="minorEastAsia"/>
          <w:kern w:val="0"/>
          <w:sz w:val="22"/>
          <w:szCs w:val="22"/>
          <w:lang w:val="en-US" w:eastAsia="en-US"/>
        </w:rPr>
        <w:t>Agência</w:t>
      </w:r>
      <w:proofErr w:type="spellEnd"/>
      <w:r w:rsidR="008353F8" w:rsidRPr="00474548">
        <w:rPr>
          <w:rFonts w:eastAsiaTheme="minorEastAsia"/>
          <w:kern w:val="0"/>
          <w:sz w:val="22"/>
          <w:szCs w:val="22"/>
          <w:lang w:val="en-US" w:eastAsia="en-US"/>
        </w:rPr>
        <w:t xml:space="preserve"> </w:t>
      </w:r>
      <w:proofErr w:type="spellStart"/>
      <w:r w:rsidR="008353F8" w:rsidRPr="00474548">
        <w:rPr>
          <w:rFonts w:eastAsiaTheme="minorEastAsia"/>
          <w:kern w:val="0"/>
          <w:sz w:val="22"/>
          <w:szCs w:val="22"/>
          <w:lang w:val="en-US" w:eastAsia="en-US"/>
        </w:rPr>
        <w:t>Nacional</w:t>
      </w:r>
      <w:proofErr w:type="spellEnd"/>
      <w:r w:rsidR="008353F8" w:rsidRPr="00474548">
        <w:rPr>
          <w:rFonts w:eastAsiaTheme="minorEastAsia"/>
          <w:kern w:val="0"/>
          <w:sz w:val="22"/>
          <w:szCs w:val="22"/>
          <w:lang w:val="en-US" w:eastAsia="en-US"/>
        </w:rPr>
        <w:t xml:space="preserve"> de </w:t>
      </w:r>
      <w:proofErr w:type="spellStart"/>
      <w:r w:rsidR="008353F8" w:rsidRPr="00474548">
        <w:rPr>
          <w:rFonts w:eastAsiaTheme="minorEastAsia"/>
          <w:kern w:val="0"/>
          <w:sz w:val="22"/>
          <w:szCs w:val="22"/>
          <w:lang w:val="en-US" w:eastAsia="en-US"/>
        </w:rPr>
        <w:t>Energia</w:t>
      </w:r>
      <w:proofErr w:type="spellEnd"/>
      <w:r w:rsidR="008353F8" w:rsidRPr="00474548">
        <w:rPr>
          <w:rFonts w:eastAsiaTheme="minorEastAsia"/>
          <w:kern w:val="0"/>
          <w:sz w:val="22"/>
          <w:szCs w:val="22"/>
          <w:lang w:val="en-US" w:eastAsia="en-US"/>
        </w:rPr>
        <w:t xml:space="preserve"> </w:t>
      </w:r>
      <w:proofErr w:type="spellStart"/>
      <w:r w:rsidR="008353F8" w:rsidRPr="00474548">
        <w:rPr>
          <w:rFonts w:eastAsiaTheme="minorEastAsia"/>
          <w:kern w:val="0"/>
          <w:sz w:val="22"/>
          <w:szCs w:val="22"/>
          <w:lang w:val="en-US" w:eastAsia="en-US"/>
        </w:rPr>
        <w:t>Elétrica</w:t>
      </w:r>
      <w:proofErr w:type="spellEnd"/>
      <w:r w:rsidR="008353F8" w:rsidRPr="00474548">
        <w:rPr>
          <w:rFonts w:eastAsiaTheme="minorEastAsia"/>
          <w:kern w:val="0"/>
          <w:sz w:val="22"/>
          <w:szCs w:val="22"/>
          <w:lang w:val="en-US" w:eastAsia="en-US"/>
        </w:rPr>
        <w:t xml:space="preserve">. </w:t>
      </w:r>
      <w:r w:rsidR="008353F8" w:rsidRPr="00474548">
        <w:rPr>
          <w:rFonts w:eastAsiaTheme="minorEastAsia"/>
          <w:i/>
          <w:kern w:val="0"/>
          <w:sz w:val="22"/>
          <w:szCs w:val="22"/>
          <w:lang w:val="en-US" w:eastAsia="en-US"/>
        </w:rPr>
        <w:t>A</w:t>
      </w:r>
      <w:r w:rsidRPr="00474548">
        <w:rPr>
          <w:rFonts w:eastAsiaTheme="minorEastAsia"/>
          <w:i/>
          <w:kern w:val="0"/>
          <w:sz w:val="22"/>
          <w:szCs w:val="22"/>
          <w:lang w:val="en-US" w:eastAsia="en-US"/>
        </w:rPr>
        <w:t xml:space="preserve">tlas de </w:t>
      </w:r>
      <w:proofErr w:type="spellStart"/>
      <w:r w:rsidRPr="00474548">
        <w:rPr>
          <w:rFonts w:eastAsiaTheme="minorEastAsia"/>
          <w:i/>
          <w:kern w:val="0"/>
          <w:sz w:val="22"/>
          <w:szCs w:val="22"/>
          <w:lang w:val="en-US" w:eastAsia="en-US"/>
        </w:rPr>
        <w:t>energia</w:t>
      </w:r>
      <w:proofErr w:type="spellEnd"/>
      <w:r w:rsidRPr="00474548">
        <w:rPr>
          <w:rFonts w:eastAsiaTheme="minorEastAsia"/>
          <w:i/>
          <w:kern w:val="0"/>
          <w:sz w:val="22"/>
          <w:szCs w:val="22"/>
          <w:lang w:val="en-US" w:eastAsia="en-US"/>
        </w:rPr>
        <w:t xml:space="preserve"> </w:t>
      </w:r>
      <w:proofErr w:type="spellStart"/>
      <w:r w:rsidRPr="00474548">
        <w:rPr>
          <w:rFonts w:eastAsiaTheme="minorEastAsia"/>
          <w:i/>
          <w:kern w:val="0"/>
          <w:sz w:val="22"/>
          <w:szCs w:val="22"/>
          <w:lang w:val="en-US" w:eastAsia="en-US"/>
        </w:rPr>
        <w:t>elétrica</w:t>
      </w:r>
      <w:proofErr w:type="spellEnd"/>
      <w:r w:rsidRPr="00474548">
        <w:rPr>
          <w:rFonts w:eastAsiaTheme="minorEastAsia"/>
          <w:kern w:val="0"/>
          <w:sz w:val="22"/>
          <w:szCs w:val="22"/>
          <w:lang w:val="en-US" w:eastAsia="en-US"/>
        </w:rPr>
        <w:t xml:space="preserve">. 3 ed. </w:t>
      </w:r>
      <w:r w:rsidR="008353F8" w:rsidRPr="00474548">
        <w:rPr>
          <w:rFonts w:eastAsiaTheme="minorEastAsia"/>
          <w:kern w:val="0"/>
          <w:sz w:val="22"/>
          <w:szCs w:val="22"/>
          <w:lang w:val="en-US" w:eastAsia="en-US"/>
        </w:rPr>
        <w:t>2008.</w:t>
      </w:r>
      <w:r w:rsidRPr="00474548">
        <w:rPr>
          <w:rFonts w:eastAsiaTheme="minorEastAsia"/>
          <w:kern w:val="0"/>
          <w:sz w:val="22"/>
          <w:szCs w:val="22"/>
          <w:lang w:val="en-US" w:eastAsia="en-US"/>
        </w:rPr>
        <w:t xml:space="preserve"> </w:t>
      </w:r>
      <w:proofErr w:type="spellStart"/>
      <w:r w:rsidR="008353F8" w:rsidRPr="00474548">
        <w:rPr>
          <w:rFonts w:eastAsiaTheme="minorEastAsia"/>
          <w:kern w:val="0"/>
          <w:sz w:val="22"/>
          <w:szCs w:val="22"/>
          <w:lang w:val="en-US" w:eastAsia="en-US"/>
        </w:rPr>
        <w:t>Disponível</w:t>
      </w:r>
      <w:proofErr w:type="spellEnd"/>
      <w:r w:rsidR="008353F8" w:rsidRPr="00474548">
        <w:rPr>
          <w:rFonts w:eastAsiaTheme="minorEastAsia"/>
          <w:kern w:val="0"/>
          <w:sz w:val="22"/>
          <w:szCs w:val="22"/>
          <w:lang w:val="en-US" w:eastAsia="en-US"/>
        </w:rPr>
        <w:t xml:space="preserve"> em: &lt;www.aneel.org.br&gt;. </w:t>
      </w:r>
      <w:proofErr w:type="spellStart"/>
      <w:r w:rsidR="008353F8" w:rsidRPr="00474548">
        <w:rPr>
          <w:rFonts w:eastAsiaTheme="minorEastAsia"/>
          <w:kern w:val="0"/>
          <w:sz w:val="22"/>
          <w:szCs w:val="22"/>
          <w:lang w:val="en-US" w:eastAsia="en-US"/>
        </w:rPr>
        <w:t>Acessos</w:t>
      </w:r>
      <w:proofErr w:type="spellEnd"/>
      <w:r w:rsidR="008353F8" w:rsidRPr="00474548">
        <w:rPr>
          <w:rFonts w:eastAsiaTheme="minorEastAsia"/>
          <w:kern w:val="0"/>
          <w:sz w:val="22"/>
          <w:szCs w:val="22"/>
          <w:lang w:val="en-US" w:eastAsia="en-US"/>
        </w:rPr>
        <w:t xml:space="preserve">: </w:t>
      </w:r>
      <w:proofErr w:type="spellStart"/>
      <w:r w:rsidR="00BA7477" w:rsidRPr="00474548">
        <w:rPr>
          <w:rFonts w:eastAsiaTheme="minorEastAsia"/>
          <w:kern w:val="0"/>
          <w:sz w:val="22"/>
          <w:szCs w:val="22"/>
          <w:lang w:val="en-US" w:eastAsia="en-US"/>
        </w:rPr>
        <w:t>N</w:t>
      </w:r>
      <w:r w:rsidR="008353F8" w:rsidRPr="00474548">
        <w:rPr>
          <w:rFonts w:eastAsiaTheme="minorEastAsia"/>
          <w:kern w:val="0"/>
          <w:sz w:val="22"/>
          <w:szCs w:val="22"/>
          <w:lang w:val="en-US" w:eastAsia="en-US"/>
        </w:rPr>
        <w:t>ovembro</w:t>
      </w:r>
      <w:proofErr w:type="spellEnd"/>
      <w:r w:rsidR="008353F8" w:rsidRPr="00474548">
        <w:rPr>
          <w:rFonts w:eastAsiaTheme="minorEastAsia"/>
          <w:kern w:val="0"/>
          <w:sz w:val="22"/>
          <w:szCs w:val="22"/>
          <w:lang w:val="en-US" w:eastAsia="en-US"/>
        </w:rPr>
        <w:t xml:space="preserve"> de 2014.</w:t>
      </w:r>
    </w:p>
    <w:p w14:paraId="5340B7E3" w14:textId="506C4BC4" w:rsidR="008353F8" w:rsidRPr="00474548" w:rsidRDefault="005D1E75" w:rsidP="005D1E75">
      <w:pPr>
        <w:ind w:left="720" w:hanging="720"/>
        <w:jc w:val="both"/>
        <w:rPr>
          <w:sz w:val="22"/>
          <w:szCs w:val="22"/>
          <w:lang w:val="en-US"/>
        </w:rPr>
      </w:pPr>
      <w:r w:rsidRPr="00474548">
        <w:rPr>
          <w:rFonts w:eastAsia="Calibri"/>
          <w:sz w:val="22"/>
          <w:szCs w:val="22"/>
          <w:lang w:val="en-US" w:eastAsia="en-US"/>
        </w:rPr>
        <w:t>ANEEL.</w:t>
      </w:r>
      <w:r w:rsidR="008353F8" w:rsidRPr="00474548">
        <w:rPr>
          <w:rFonts w:eastAsia="Calibri"/>
          <w:sz w:val="22"/>
          <w:szCs w:val="22"/>
          <w:lang w:val="en-US" w:eastAsia="en-US"/>
        </w:rPr>
        <w:t xml:space="preserve"> </w:t>
      </w:r>
      <w:r w:rsidRPr="00474548">
        <w:rPr>
          <w:rFonts w:eastAsia="Calibri"/>
          <w:sz w:val="22"/>
          <w:szCs w:val="22"/>
          <w:lang w:val="en-US" w:eastAsia="en-US"/>
        </w:rPr>
        <w:t>(</w:t>
      </w:r>
      <w:r w:rsidR="008353F8" w:rsidRPr="00474548">
        <w:rPr>
          <w:rFonts w:eastAsia="Calibri"/>
          <w:sz w:val="22"/>
          <w:szCs w:val="22"/>
          <w:lang w:val="en-US" w:eastAsia="en-US"/>
        </w:rPr>
        <w:t>2014</w:t>
      </w:r>
      <w:r w:rsidRPr="00474548">
        <w:rPr>
          <w:rFonts w:eastAsia="Calibri"/>
          <w:sz w:val="22"/>
          <w:szCs w:val="22"/>
          <w:lang w:val="en-US" w:eastAsia="en-US"/>
        </w:rPr>
        <w:t>),</w:t>
      </w:r>
      <w:r w:rsidR="008353F8" w:rsidRPr="00474548">
        <w:rPr>
          <w:rFonts w:eastAsia="Calibri"/>
          <w:sz w:val="22"/>
          <w:szCs w:val="22"/>
          <w:lang w:val="en-US" w:eastAsia="en-US"/>
        </w:rPr>
        <w:t xml:space="preserve"> </w:t>
      </w:r>
      <w:proofErr w:type="spellStart"/>
      <w:r w:rsidR="008353F8" w:rsidRPr="00474548">
        <w:rPr>
          <w:rFonts w:eastAsia="Calibri"/>
          <w:sz w:val="22"/>
          <w:szCs w:val="22"/>
          <w:lang w:val="en-US" w:eastAsia="en-US"/>
        </w:rPr>
        <w:t>Agência</w:t>
      </w:r>
      <w:proofErr w:type="spellEnd"/>
      <w:r w:rsidR="008353F8" w:rsidRPr="00474548">
        <w:rPr>
          <w:rFonts w:eastAsia="Calibri"/>
          <w:sz w:val="22"/>
          <w:szCs w:val="22"/>
          <w:lang w:val="en-US" w:eastAsia="en-US"/>
        </w:rPr>
        <w:t xml:space="preserve"> </w:t>
      </w:r>
      <w:proofErr w:type="spellStart"/>
      <w:r w:rsidR="008353F8" w:rsidRPr="00474548">
        <w:rPr>
          <w:rFonts w:eastAsia="Calibri"/>
          <w:sz w:val="22"/>
          <w:szCs w:val="22"/>
          <w:lang w:val="en-US" w:eastAsia="en-US"/>
        </w:rPr>
        <w:t>Nacional</w:t>
      </w:r>
      <w:proofErr w:type="spellEnd"/>
      <w:r w:rsidR="008353F8" w:rsidRPr="00474548">
        <w:rPr>
          <w:rFonts w:eastAsia="Calibri"/>
          <w:sz w:val="22"/>
          <w:szCs w:val="22"/>
          <w:lang w:val="en-US" w:eastAsia="en-US"/>
        </w:rPr>
        <w:t xml:space="preserve"> de </w:t>
      </w:r>
      <w:proofErr w:type="spellStart"/>
      <w:r w:rsidR="008353F8" w:rsidRPr="00474548">
        <w:rPr>
          <w:rFonts w:eastAsia="Calibri"/>
          <w:sz w:val="22"/>
          <w:szCs w:val="22"/>
          <w:lang w:val="en-US" w:eastAsia="en-US"/>
        </w:rPr>
        <w:t>Energia</w:t>
      </w:r>
      <w:proofErr w:type="spellEnd"/>
      <w:r w:rsidR="008353F8" w:rsidRPr="00474548">
        <w:rPr>
          <w:rFonts w:eastAsia="Calibri"/>
          <w:sz w:val="22"/>
          <w:szCs w:val="22"/>
          <w:lang w:val="en-US" w:eastAsia="en-US"/>
        </w:rPr>
        <w:t xml:space="preserve"> </w:t>
      </w:r>
      <w:proofErr w:type="spellStart"/>
      <w:r w:rsidR="008353F8" w:rsidRPr="00474548">
        <w:rPr>
          <w:rFonts w:eastAsia="Calibri"/>
          <w:sz w:val="22"/>
          <w:szCs w:val="22"/>
          <w:lang w:val="en-US" w:eastAsia="en-US"/>
        </w:rPr>
        <w:t>Elétrica</w:t>
      </w:r>
      <w:proofErr w:type="spellEnd"/>
      <w:r w:rsidR="008353F8" w:rsidRPr="00474548">
        <w:rPr>
          <w:rFonts w:eastAsia="Calibri"/>
          <w:sz w:val="22"/>
          <w:szCs w:val="22"/>
          <w:lang w:val="en-US" w:eastAsia="en-US"/>
        </w:rPr>
        <w:t xml:space="preserve">. </w:t>
      </w:r>
      <w:proofErr w:type="spellStart"/>
      <w:r w:rsidR="008353F8" w:rsidRPr="00474548">
        <w:rPr>
          <w:rFonts w:eastAsia="Calibri"/>
          <w:sz w:val="22"/>
          <w:szCs w:val="22"/>
          <w:lang w:val="en-US" w:eastAsia="en-US"/>
        </w:rPr>
        <w:t>Disponível</w:t>
      </w:r>
      <w:proofErr w:type="spellEnd"/>
      <w:r w:rsidR="008353F8" w:rsidRPr="00474548">
        <w:rPr>
          <w:rFonts w:eastAsia="Calibri"/>
          <w:sz w:val="22"/>
          <w:szCs w:val="22"/>
          <w:lang w:val="en-US" w:eastAsia="en-US"/>
        </w:rPr>
        <w:t xml:space="preserve"> em: </w:t>
      </w:r>
      <w:hyperlink r:id="rId20" w:history="1">
        <w:r w:rsidR="008353F8" w:rsidRPr="00474548">
          <w:rPr>
            <w:rStyle w:val="Hyperlink"/>
            <w:rFonts w:eastAsia="Calibri"/>
            <w:sz w:val="22"/>
            <w:szCs w:val="22"/>
            <w:lang w:val="en-US" w:eastAsia="en-US"/>
          </w:rPr>
          <w:t>www.aneel.org.br</w:t>
        </w:r>
      </w:hyperlink>
      <w:r w:rsidR="008353F8" w:rsidRPr="00474548">
        <w:rPr>
          <w:rFonts w:eastAsia="Calibri"/>
          <w:sz w:val="22"/>
          <w:szCs w:val="22"/>
          <w:lang w:val="en-US" w:eastAsia="en-US"/>
        </w:rPr>
        <w:t xml:space="preserve">. </w:t>
      </w:r>
      <w:proofErr w:type="spellStart"/>
      <w:r w:rsidR="008353F8" w:rsidRPr="00474548">
        <w:rPr>
          <w:rFonts w:eastAsia="Calibri"/>
          <w:sz w:val="22"/>
          <w:szCs w:val="22"/>
          <w:lang w:val="en-US" w:eastAsia="en-US"/>
        </w:rPr>
        <w:t>Acesso</w:t>
      </w:r>
      <w:proofErr w:type="spellEnd"/>
      <w:r w:rsidR="008353F8" w:rsidRPr="00474548">
        <w:rPr>
          <w:rFonts w:eastAsia="Calibri"/>
          <w:sz w:val="22"/>
          <w:szCs w:val="22"/>
          <w:lang w:val="en-US" w:eastAsia="en-US"/>
        </w:rPr>
        <w:t xml:space="preserve"> em: </w:t>
      </w:r>
      <w:r w:rsidR="00BA7477" w:rsidRPr="00474548">
        <w:rPr>
          <w:rFonts w:eastAsia="Calibri"/>
          <w:sz w:val="22"/>
          <w:szCs w:val="22"/>
          <w:lang w:val="en-US" w:eastAsia="en-US"/>
        </w:rPr>
        <w:t>N</w:t>
      </w:r>
      <w:r w:rsidR="008353F8" w:rsidRPr="00474548">
        <w:rPr>
          <w:rFonts w:eastAsia="Calibri"/>
          <w:sz w:val="22"/>
          <w:szCs w:val="22"/>
          <w:lang w:val="en-US" w:eastAsia="en-US"/>
        </w:rPr>
        <w:t xml:space="preserve">ov. </w:t>
      </w:r>
      <w:r w:rsidR="00BA7477" w:rsidRPr="00474548">
        <w:rPr>
          <w:rFonts w:eastAsia="Calibri"/>
          <w:sz w:val="22"/>
          <w:szCs w:val="22"/>
          <w:lang w:val="en-US" w:eastAsia="en-US"/>
        </w:rPr>
        <w:t xml:space="preserve">30, </w:t>
      </w:r>
      <w:r w:rsidR="008353F8" w:rsidRPr="00474548">
        <w:rPr>
          <w:rFonts w:eastAsia="Calibri"/>
          <w:sz w:val="22"/>
          <w:szCs w:val="22"/>
          <w:lang w:val="en-US" w:eastAsia="en-US"/>
        </w:rPr>
        <w:t>2</w:t>
      </w:r>
      <w:r w:rsidR="008353F8" w:rsidRPr="00474548">
        <w:rPr>
          <w:sz w:val="22"/>
          <w:szCs w:val="22"/>
          <w:lang w:val="en-US"/>
        </w:rPr>
        <w:t>014.</w:t>
      </w:r>
    </w:p>
    <w:p w14:paraId="5866F150" w14:textId="79EBDB9C" w:rsidR="00644DA9" w:rsidRPr="00474548" w:rsidRDefault="00722A57" w:rsidP="005D1E75">
      <w:pPr>
        <w:suppressAutoHyphens w:val="0"/>
        <w:autoSpaceDE w:val="0"/>
        <w:autoSpaceDN w:val="0"/>
        <w:adjustRightInd w:val="0"/>
        <w:ind w:left="720" w:hanging="720"/>
        <w:jc w:val="both"/>
        <w:rPr>
          <w:rFonts w:eastAsiaTheme="minorEastAsia"/>
          <w:kern w:val="0"/>
          <w:sz w:val="22"/>
          <w:szCs w:val="22"/>
          <w:lang w:val="en-US" w:bidi="ar-SA"/>
        </w:rPr>
      </w:pPr>
      <w:r w:rsidRPr="00474548">
        <w:rPr>
          <w:rFonts w:eastAsiaTheme="minorEastAsia"/>
          <w:kern w:val="0"/>
          <w:sz w:val="22"/>
          <w:szCs w:val="22"/>
          <w:lang w:val="en-US" w:bidi="ar-SA"/>
        </w:rPr>
        <w:t xml:space="preserve">Arroyo, J.P.A., </w:t>
      </w:r>
      <w:proofErr w:type="spellStart"/>
      <w:r w:rsidRPr="00474548">
        <w:rPr>
          <w:rFonts w:eastAsiaTheme="minorEastAsia"/>
          <w:kern w:val="0"/>
          <w:sz w:val="22"/>
          <w:szCs w:val="22"/>
          <w:lang w:val="en-US" w:bidi="ar-SA"/>
        </w:rPr>
        <w:t>Yago</w:t>
      </w:r>
      <w:proofErr w:type="spellEnd"/>
      <w:r w:rsidRPr="00474548">
        <w:rPr>
          <w:rFonts w:eastAsiaTheme="minorEastAsia"/>
          <w:kern w:val="0"/>
          <w:sz w:val="22"/>
          <w:szCs w:val="22"/>
          <w:lang w:val="en-US" w:bidi="ar-SA"/>
        </w:rPr>
        <w:t xml:space="preserve">, M., </w:t>
      </w:r>
      <w:proofErr w:type="spellStart"/>
      <w:r w:rsidRPr="00474548">
        <w:rPr>
          <w:rFonts w:eastAsiaTheme="minorEastAsia"/>
          <w:kern w:val="0"/>
          <w:sz w:val="22"/>
          <w:szCs w:val="22"/>
          <w:lang w:val="en-US" w:bidi="ar-SA"/>
        </w:rPr>
        <w:t>Nasir</w:t>
      </w:r>
      <w:proofErr w:type="spellEnd"/>
      <w:r w:rsidRPr="00474548">
        <w:rPr>
          <w:rFonts w:eastAsiaTheme="minorEastAsia"/>
          <w:kern w:val="0"/>
          <w:sz w:val="22"/>
          <w:szCs w:val="22"/>
          <w:lang w:val="en-US" w:bidi="ar-SA"/>
        </w:rPr>
        <w:t>, M.</w:t>
      </w:r>
      <w:r w:rsidR="00644DA9" w:rsidRPr="00474548">
        <w:rPr>
          <w:rFonts w:eastAsiaTheme="minorEastAsia"/>
          <w:kern w:val="0"/>
          <w:sz w:val="22"/>
          <w:szCs w:val="22"/>
          <w:lang w:val="en-US" w:bidi="ar-SA"/>
        </w:rPr>
        <w:t>A., Wu, J</w:t>
      </w:r>
      <w:r w:rsidRPr="00474548">
        <w:rPr>
          <w:rFonts w:eastAsiaTheme="minorEastAsia"/>
          <w:kern w:val="0"/>
          <w:sz w:val="22"/>
          <w:szCs w:val="22"/>
          <w:lang w:val="en-US" w:bidi="ar-SA"/>
        </w:rPr>
        <w:t>. (2014),</w:t>
      </w:r>
      <w:r w:rsidR="00644DA9" w:rsidRPr="00474548">
        <w:rPr>
          <w:rFonts w:eastAsiaTheme="minorEastAsia"/>
          <w:kern w:val="0"/>
          <w:sz w:val="22"/>
          <w:szCs w:val="22"/>
          <w:lang w:val="en-US" w:bidi="ar-SA"/>
        </w:rPr>
        <w:t xml:space="preserve"> </w:t>
      </w:r>
      <w:r w:rsidR="00644DA9" w:rsidRPr="00474548">
        <w:rPr>
          <w:rFonts w:eastAsiaTheme="minorEastAsia"/>
          <w:i/>
          <w:kern w:val="0"/>
          <w:sz w:val="22"/>
          <w:szCs w:val="22"/>
          <w:lang w:val="en-US" w:bidi="ar-SA"/>
        </w:rPr>
        <w:t>Strategic Alliance in Energy Sector &amp; Implications for Economic Growth</w:t>
      </w:r>
      <w:r w:rsidRPr="00474548">
        <w:rPr>
          <w:rFonts w:eastAsiaTheme="minorEastAsia"/>
          <w:i/>
          <w:kern w:val="0"/>
          <w:sz w:val="22"/>
          <w:szCs w:val="22"/>
          <w:lang w:val="en-US" w:bidi="ar-SA"/>
        </w:rPr>
        <w:t xml:space="preserve"> </w:t>
      </w:r>
      <w:r w:rsidR="00644DA9" w:rsidRPr="00474548">
        <w:rPr>
          <w:rFonts w:eastAsiaTheme="minorEastAsia"/>
          <w:i/>
          <w:kern w:val="0"/>
          <w:sz w:val="22"/>
          <w:szCs w:val="22"/>
          <w:lang w:val="en-US" w:bidi="ar-SA"/>
        </w:rPr>
        <w:t xml:space="preserve">and Technical Efficiency: The Case of </w:t>
      </w:r>
      <w:proofErr w:type="spellStart"/>
      <w:r w:rsidR="00644DA9" w:rsidRPr="00474548">
        <w:rPr>
          <w:rFonts w:eastAsiaTheme="minorEastAsia"/>
          <w:i/>
          <w:kern w:val="0"/>
          <w:sz w:val="22"/>
          <w:szCs w:val="22"/>
          <w:lang w:val="en-US" w:bidi="ar-SA"/>
        </w:rPr>
        <w:t>Petrobras</w:t>
      </w:r>
      <w:proofErr w:type="spellEnd"/>
      <w:r w:rsidR="00644DA9" w:rsidRPr="00474548">
        <w:rPr>
          <w:rFonts w:eastAsiaTheme="minorEastAsia"/>
          <w:i/>
          <w:kern w:val="0"/>
          <w:sz w:val="22"/>
          <w:szCs w:val="22"/>
          <w:lang w:val="en-US" w:bidi="ar-SA"/>
        </w:rPr>
        <w:t xml:space="preserve"> and </w:t>
      </w:r>
      <w:proofErr w:type="spellStart"/>
      <w:r w:rsidR="00644DA9" w:rsidRPr="00474548">
        <w:rPr>
          <w:rFonts w:eastAsiaTheme="minorEastAsia"/>
          <w:i/>
          <w:kern w:val="0"/>
          <w:sz w:val="22"/>
          <w:szCs w:val="22"/>
          <w:lang w:val="en-US" w:bidi="ar-SA"/>
        </w:rPr>
        <w:t>Galp</w:t>
      </w:r>
      <w:proofErr w:type="spellEnd"/>
      <w:r w:rsidRPr="00474548">
        <w:rPr>
          <w:rFonts w:eastAsiaTheme="minorEastAsia"/>
          <w:kern w:val="0"/>
          <w:sz w:val="22"/>
          <w:szCs w:val="22"/>
          <w:lang w:val="en-US" w:bidi="ar-SA"/>
        </w:rPr>
        <w:t xml:space="preserve">, International Journal of Energy Economics and Policy, </w:t>
      </w:r>
      <w:r w:rsidR="00A24B3D" w:rsidRPr="00474548">
        <w:rPr>
          <w:rFonts w:eastAsiaTheme="minorEastAsia"/>
          <w:kern w:val="0"/>
          <w:sz w:val="22"/>
          <w:szCs w:val="22"/>
          <w:lang w:val="en-US" w:bidi="ar-SA"/>
        </w:rPr>
        <w:t>4</w:t>
      </w:r>
      <w:r w:rsidRPr="00474548">
        <w:rPr>
          <w:rFonts w:eastAsiaTheme="minorEastAsia"/>
          <w:kern w:val="0"/>
          <w:sz w:val="22"/>
          <w:szCs w:val="22"/>
          <w:lang w:val="en-US" w:bidi="ar-SA"/>
        </w:rPr>
        <w:t>(4), 759-751.</w:t>
      </w:r>
    </w:p>
    <w:p w14:paraId="74DB6511" w14:textId="1B7D9DBD" w:rsidR="008353F8" w:rsidRPr="00474548" w:rsidRDefault="008353F8" w:rsidP="005D1E75">
      <w:pPr>
        <w:ind w:left="720" w:hanging="720"/>
        <w:jc w:val="both"/>
        <w:rPr>
          <w:sz w:val="22"/>
          <w:szCs w:val="22"/>
          <w:lang w:val="en-US"/>
        </w:rPr>
      </w:pPr>
      <w:r w:rsidRPr="00474548">
        <w:rPr>
          <w:rStyle w:val="addmd"/>
          <w:sz w:val="22"/>
          <w:szCs w:val="22"/>
          <w:shd w:val="clear" w:color="auto" w:fill="FFFFFF"/>
          <w:lang w:val="en-US"/>
        </w:rPr>
        <w:t>Ba</w:t>
      </w:r>
      <w:r w:rsidR="00A24B3D" w:rsidRPr="00474548">
        <w:rPr>
          <w:rStyle w:val="addmd"/>
          <w:sz w:val="22"/>
          <w:szCs w:val="22"/>
          <w:shd w:val="clear" w:color="auto" w:fill="FFFFFF"/>
          <w:lang w:val="en-US"/>
        </w:rPr>
        <w:t>ldwin, R., Cave, M., Lodge, M. (</w:t>
      </w:r>
      <w:r w:rsidRPr="00474548">
        <w:rPr>
          <w:rStyle w:val="addmd"/>
          <w:sz w:val="22"/>
          <w:szCs w:val="22"/>
          <w:shd w:val="clear" w:color="auto" w:fill="FFFFFF"/>
          <w:lang w:val="en-US"/>
        </w:rPr>
        <w:t>2012</w:t>
      </w:r>
      <w:r w:rsidR="00A24B3D" w:rsidRPr="00474548">
        <w:rPr>
          <w:rStyle w:val="addmd"/>
          <w:sz w:val="22"/>
          <w:szCs w:val="22"/>
          <w:shd w:val="clear" w:color="auto" w:fill="FFFFFF"/>
          <w:lang w:val="en-US"/>
        </w:rPr>
        <w:t>),</w:t>
      </w:r>
      <w:r w:rsidRPr="00474548">
        <w:rPr>
          <w:rStyle w:val="addmd"/>
          <w:sz w:val="22"/>
          <w:szCs w:val="22"/>
          <w:shd w:val="clear" w:color="auto" w:fill="FFFFFF"/>
          <w:lang w:val="en-US"/>
        </w:rPr>
        <w:t xml:space="preserve"> </w:t>
      </w:r>
      <w:r w:rsidRPr="00474548">
        <w:rPr>
          <w:i/>
          <w:sz w:val="22"/>
          <w:szCs w:val="22"/>
          <w:lang w:val="en-US"/>
        </w:rPr>
        <w:t>Understanding Regulation: Theory, Strategy, and Practice</w:t>
      </w:r>
      <w:r w:rsidR="004E51E0" w:rsidRPr="00474548">
        <w:rPr>
          <w:i/>
          <w:sz w:val="22"/>
          <w:szCs w:val="22"/>
          <w:lang w:val="en-US"/>
        </w:rPr>
        <w:t>,</w:t>
      </w:r>
      <w:r w:rsidRPr="00474548">
        <w:rPr>
          <w:sz w:val="22"/>
          <w:szCs w:val="22"/>
          <w:lang w:val="en-US"/>
        </w:rPr>
        <w:t xml:space="preserve"> New York: Oxford Universi</w:t>
      </w:r>
      <w:r w:rsidR="00381F16" w:rsidRPr="00474548">
        <w:rPr>
          <w:sz w:val="22"/>
          <w:szCs w:val="22"/>
          <w:lang w:val="en-US"/>
        </w:rPr>
        <w:t>t</w:t>
      </w:r>
      <w:r w:rsidRPr="00474548">
        <w:rPr>
          <w:sz w:val="22"/>
          <w:szCs w:val="22"/>
          <w:lang w:val="en-US"/>
        </w:rPr>
        <w:t>y Press Inc</w:t>
      </w:r>
      <w:r w:rsidR="00381F16" w:rsidRPr="00474548">
        <w:rPr>
          <w:sz w:val="22"/>
          <w:szCs w:val="22"/>
          <w:lang w:val="en-US"/>
        </w:rPr>
        <w:t>.</w:t>
      </w:r>
      <w:r w:rsidRPr="00474548">
        <w:rPr>
          <w:sz w:val="22"/>
          <w:szCs w:val="22"/>
          <w:lang w:val="en-US"/>
        </w:rPr>
        <w:t xml:space="preserve">, 2 </w:t>
      </w:r>
      <w:proofErr w:type="gramStart"/>
      <w:r w:rsidRPr="00474548">
        <w:rPr>
          <w:sz w:val="22"/>
          <w:szCs w:val="22"/>
          <w:lang w:val="en-US"/>
        </w:rPr>
        <w:t>ed</w:t>
      </w:r>
      <w:proofErr w:type="gramEnd"/>
      <w:r w:rsidRPr="00474548">
        <w:rPr>
          <w:sz w:val="22"/>
          <w:szCs w:val="22"/>
          <w:lang w:val="en-US"/>
        </w:rPr>
        <w:t xml:space="preserve">. </w:t>
      </w:r>
    </w:p>
    <w:p w14:paraId="4F5D3206" w14:textId="055B03E8" w:rsidR="008353F8" w:rsidRPr="00474548" w:rsidRDefault="008353F8" w:rsidP="005D1E75">
      <w:pPr>
        <w:pStyle w:val="ndice"/>
        <w:suppressLineNumbers w:val="0"/>
        <w:spacing w:line="240" w:lineRule="auto"/>
        <w:ind w:left="720" w:hanging="720"/>
        <w:rPr>
          <w:rFonts w:ascii="Times New Roman" w:hAnsi="Times New Roman" w:cs="Times New Roman"/>
          <w:sz w:val="22"/>
          <w:szCs w:val="22"/>
          <w:lang w:val="en-US"/>
        </w:rPr>
      </w:pPr>
      <w:r w:rsidRPr="00474548">
        <w:rPr>
          <w:rFonts w:ascii="Times New Roman" w:hAnsi="Times New Roman" w:cs="Times New Roman"/>
          <w:sz w:val="22"/>
          <w:szCs w:val="22"/>
          <w:lang w:val="en-US"/>
        </w:rPr>
        <w:t xml:space="preserve">Black, F., Jensen, M., Scholes, M. </w:t>
      </w:r>
      <w:r w:rsidR="00A24B3D" w:rsidRPr="00474548">
        <w:rPr>
          <w:rFonts w:ascii="Times New Roman" w:hAnsi="Times New Roman" w:cs="Times New Roman"/>
          <w:sz w:val="22"/>
          <w:szCs w:val="22"/>
          <w:lang w:val="en-US"/>
        </w:rPr>
        <w:t>(</w:t>
      </w:r>
      <w:r w:rsidRPr="00474548">
        <w:rPr>
          <w:rFonts w:ascii="Times New Roman" w:hAnsi="Times New Roman" w:cs="Times New Roman"/>
          <w:sz w:val="22"/>
          <w:szCs w:val="22"/>
          <w:lang w:val="en-US"/>
        </w:rPr>
        <w:t>1972</w:t>
      </w:r>
      <w:r w:rsidR="00A24B3D" w:rsidRPr="00474548">
        <w:rPr>
          <w:rFonts w:ascii="Times New Roman" w:hAnsi="Times New Roman" w:cs="Times New Roman"/>
          <w:sz w:val="22"/>
          <w:szCs w:val="22"/>
          <w:lang w:val="en-US"/>
        </w:rPr>
        <w:t>),</w:t>
      </w:r>
      <w:r w:rsidRPr="00474548">
        <w:rPr>
          <w:rFonts w:ascii="Times New Roman" w:hAnsi="Times New Roman" w:cs="Times New Roman"/>
          <w:sz w:val="22"/>
          <w:szCs w:val="22"/>
          <w:lang w:val="en-US"/>
        </w:rPr>
        <w:t xml:space="preserve"> </w:t>
      </w:r>
      <w:r w:rsidRPr="00474548">
        <w:rPr>
          <w:rFonts w:ascii="Times New Roman" w:hAnsi="Times New Roman" w:cs="Times New Roman"/>
          <w:i/>
          <w:sz w:val="22"/>
          <w:szCs w:val="22"/>
          <w:lang w:val="en-US"/>
        </w:rPr>
        <w:t xml:space="preserve">The Capital Asset Pricing Model: Some Empirical Tests. Studies in </w:t>
      </w:r>
      <w:r w:rsidR="00BA7477" w:rsidRPr="00474548">
        <w:rPr>
          <w:rFonts w:ascii="Times New Roman" w:hAnsi="Times New Roman" w:cs="Times New Roman"/>
          <w:i/>
          <w:sz w:val="22"/>
          <w:szCs w:val="22"/>
          <w:lang w:val="en-US"/>
        </w:rPr>
        <w:t>t</w:t>
      </w:r>
      <w:r w:rsidRPr="00474548">
        <w:rPr>
          <w:rFonts w:ascii="Times New Roman" w:hAnsi="Times New Roman" w:cs="Times New Roman"/>
          <w:i/>
          <w:sz w:val="22"/>
          <w:szCs w:val="22"/>
          <w:lang w:val="en-US"/>
        </w:rPr>
        <w:t>he Theory of Capital Markets</w:t>
      </w:r>
      <w:r w:rsidR="004E51E0" w:rsidRPr="00474548">
        <w:rPr>
          <w:rFonts w:ascii="Times New Roman" w:hAnsi="Times New Roman" w:cs="Times New Roman"/>
          <w:sz w:val="22"/>
          <w:szCs w:val="22"/>
          <w:lang w:val="en-US"/>
        </w:rPr>
        <w:t xml:space="preserve">, </w:t>
      </w:r>
      <w:proofErr w:type="spellStart"/>
      <w:r w:rsidRPr="00474548">
        <w:rPr>
          <w:rFonts w:ascii="Times New Roman" w:hAnsi="Times New Roman" w:cs="Times New Roman"/>
          <w:sz w:val="22"/>
          <w:szCs w:val="22"/>
          <w:lang w:val="en-US"/>
        </w:rPr>
        <w:t>Praeger</w:t>
      </w:r>
      <w:proofErr w:type="spellEnd"/>
      <w:r w:rsidRPr="00474548">
        <w:rPr>
          <w:rFonts w:ascii="Times New Roman" w:hAnsi="Times New Roman" w:cs="Times New Roman"/>
          <w:sz w:val="22"/>
          <w:szCs w:val="22"/>
          <w:lang w:val="en-US"/>
        </w:rPr>
        <w:t xml:space="preserve"> Publishers Inc.</w:t>
      </w:r>
    </w:p>
    <w:p w14:paraId="4554F9D4" w14:textId="2C259E79" w:rsidR="008353F8" w:rsidRPr="00474548" w:rsidRDefault="00A24B3D" w:rsidP="005D1E75">
      <w:pPr>
        <w:suppressAutoHyphens w:val="0"/>
        <w:autoSpaceDE w:val="0"/>
        <w:autoSpaceDN w:val="0"/>
        <w:adjustRightInd w:val="0"/>
        <w:ind w:left="720" w:hanging="720"/>
        <w:jc w:val="both"/>
        <w:rPr>
          <w:rFonts w:eastAsiaTheme="minorEastAsia"/>
          <w:kern w:val="0"/>
          <w:sz w:val="22"/>
          <w:szCs w:val="22"/>
          <w:lang w:val="en-US" w:eastAsia="en-US"/>
        </w:rPr>
      </w:pPr>
      <w:r w:rsidRPr="00474548">
        <w:rPr>
          <w:rFonts w:eastAsiaTheme="minorEastAsia"/>
          <w:kern w:val="0"/>
          <w:sz w:val="22"/>
          <w:szCs w:val="22"/>
          <w:lang w:val="en-US" w:eastAsia="en-US"/>
        </w:rPr>
        <w:t>Brewer, H.L., Mann, P.C.</w:t>
      </w:r>
      <w:r w:rsidR="008353F8" w:rsidRPr="00474548">
        <w:rPr>
          <w:rFonts w:eastAsiaTheme="minorEastAsia"/>
          <w:kern w:val="0"/>
          <w:sz w:val="22"/>
          <w:szCs w:val="22"/>
          <w:lang w:val="en-US" w:eastAsia="en-US"/>
        </w:rPr>
        <w:t xml:space="preserve"> </w:t>
      </w:r>
      <w:r w:rsidRPr="00474548">
        <w:rPr>
          <w:rFonts w:eastAsiaTheme="minorEastAsia"/>
          <w:kern w:val="0"/>
          <w:sz w:val="22"/>
          <w:szCs w:val="22"/>
          <w:lang w:val="en-US" w:eastAsia="en-US"/>
        </w:rPr>
        <w:t>(</w:t>
      </w:r>
      <w:r w:rsidR="008353F8" w:rsidRPr="00474548">
        <w:rPr>
          <w:rFonts w:eastAsiaTheme="minorEastAsia"/>
          <w:kern w:val="0"/>
          <w:sz w:val="22"/>
          <w:szCs w:val="22"/>
          <w:lang w:val="en-US" w:eastAsia="en-US"/>
        </w:rPr>
        <w:t>1989</w:t>
      </w:r>
      <w:r w:rsidRPr="00474548">
        <w:rPr>
          <w:rFonts w:eastAsiaTheme="minorEastAsia"/>
          <w:kern w:val="0"/>
          <w:sz w:val="22"/>
          <w:szCs w:val="22"/>
          <w:lang w:val="en-US" w:eastAsia="en-US"/>
        </w:rPr>
        <w:t>),</w:t>
      </w:r>
      <w:r w:rsidR="008353F8" w:rsidRPr="00474548">
        <w:rPr>
          <w:rFonts w:eastAsiaTheme="minorEastAsia"/>
          <w:kern w:val="0"/>
          <w:sz w:val="22"/>
          <w:szCs w:val="22"/>
          <w:lang w:val="en-US" w:eastAsia="en-US"/>
        </w:rPr>
        <w:t xml:space="preserve"> </w:t>
      </w:r>
      <w:r w:rsidR="008353F8" w:rsidRPr="00474548">
        <w:rPr>
          <w:rFonts w:eastAsiaTheme="minorEastAsia"/>
          <w:i/>
          <w:kern w:val="0"/>
          <w:sz w:val="22"/>
          <w:szCs w:val="22"/>
          <w:lang w:val="en-US" w:eastAsia="en-US"/>
        </w:rPr>
        <w:t>Regulator selection and financial performance for public utilities: Selection method and the returns experienced by common equi</w:t>
      </w:r>
      <w:r w:rsidRPr="00474548">
        <w:rPr>
          <w:rFonts w:eastAsiaTheme="minorEastAsia"/>
          <w:i/>
          <w:kern w:val="0"/>
          <w:sz w:val="22"/>
          <w:szCs w:val="22"/>
          <w:lang w:val="en-US" w:eastAsia="en-US"/>
        </w:rPr>
        <w:t>ty owners</w:t>
      </w:r>
      <w:r w:rsidR="004E51E0" w:rsidRPr="00474548">
        <w:rPr>
          <w:rFonts w:eastAsiaTheme="minorEastAsia"/>
          <w:kern w:val="0"/>
          <w:sz w:val="22"/>
          <w:szCs w:val="22"/>
          <w:lang w:val="en-US" w:eastAsia="en-US"/>
        </w:rPr>
        <w:t xml:space="preserve">, </w:t>
      </w:r>
      <w:r w:rsidRPr="00474548">
        <w:rPr>
          <w:rFonts w:eastAsiaTheme="minorEastAsia"/>
          <w:kern w:val="0"/>
          <w:sz w:val="22"/>
          <w:szCs w:val="22"/>
          <w:lang w:val="en-US" w:eastAsia="en-US"/>
        </w:rPr>
        <w:t>Energy Economics, 11</w:t>
      </w:r>
      <w:r w:rsidR="008353F8" w:rsidRPr="00474548">
        <w:rPr>
          <w:rFonts w:eastAsiaTheme="minorEastAsia"/>
          <w:kern w:val="0"/>
          <w:sz w:val="22"/>
          <w:szCs w:val="22"/>
          <w:lang w:val="en-US" w:eastAsia="en-US"/>
        </w:rPr>
        <w:t>(1)</w:t>
      </w:r>
      <w:r w:rsidRPr="00474548">
        <w:rPr>
          <w:rFonts w:eastAsiaTheme="minorEastAsia"/>
          <w:kern w:val="0"/>
          <w:sz w:val="22"/>
          <w:szCs w:val="22"/>
          <w:lang w:val="en-US" w:eastAsia="en-US"/>
        </w:rPr>
        <w:t>,</w:t>
      </w:r>
      <w:r w:rsidR="008353F8" w:rsidRPr="00474548">
        <w:rPr>
          <w:rFonts w:eastAsiaTheme="minorEastAsia"/>
          <w:kern w:val="0"/>
          <w:sz w:val="22"/>
          <w:szCs w:val="22"/>
          <w:lang w:val="en-US" w:eastAsia="en-US"/>
        </w:rPr>
        <w:t xml:space="preserve"> 39-45.</w:t>
      </w:r>
    </w:p>
    <w:p w14:paraId="68011833" w14:textId="5FDDA0C8" w:rsidR="008353F8" w:rsidRPr="00474548" w:rsidRDefault="00A24B3D" w:rsidP="005D1E75">
      <w:pPr>
        <w:ind w:left="720" w:hanging="720"/>
        <w:jc w:val="both"/>
        <w:rPr>
          <w:sz w:val="22"/>
          <w:szCs w:val="22"/>
          <w:lang w:val="en-US"/>
        </w:rPr>
      </w:pPr>
      <w:proofErr w:type="spellStart"/>
      <w:r w:rsidRPr="00474548">
        <w:rPr>
          <w:sz w:val="22"/>
          <w:szCs w:val="22"/>
          <w:lang w:val="en-US"/>
        </w:rPr>
        <w:t>Buratini</w:t>
      </w:r>
      <w:proofErr w:type="spellEnd"/>
      <w:r w:rsidRPr="00474548">
        <w:rPr>
          <w:sz w:val="22"/>
          <w:szCs w:val="22"/>
          <w:lang w:val="en-US"/>
        </w:rPr>
        <w:t>, R. (2004),</w:t>
      </w:r>
      <w:r w:rsidR="008353F8" w:rsidRPr="00474548">
        <w:rPr>
          <w:sz w:val="22"/>
          <w:szCs w:val="22"/>
          <w:lang w:val="en-US"/>
        </w:rPr>
        <w:t xml:space="preserve"> </w:t>
      </w:r>
      <w:proofErr w:type="spellStart"/>
      <w:r w:rsidR="008353F8" w:rsidRPr="00474548">
        <w:rPr>
          <w:i/>
          <w:iCs/>
          <w:sz w:val="22"/>
          <w:szCs w:val="22"/>
          <w:lang w:val="en-US"/>
        </w:rPr>
        <w:t>Estados</w:t>
      </w:r>
      <w:proofErr w:type="spellEnd"/>
      <w:r w:rsidR="008353F8" w:rsidRPr="00474548">
        <w:rPr>
          <w:i/>
          <w:iCs/>
          <w:sz w:val="22"/>
          <w:szCs w:val="22"/>
          <w:lang w:val="en-US"/>
        </w:rPr>
        <w:t xml:space="preserve">, </w:t>
      </w:r>
      <w:proofErr w:type="spellStart"/>
      <w:proofErr w:type="gramStart"/>
      <w:r w:rsidR="008353F8" w:rsidRPr="00474548">
        <w:rPr>
          <w:i/>
          <w:iCs/>
          <w:sz w:val="22"/>
          <w:szCs w:val="22"/>
          <w:lang w:val="en-US"/>
        </w:rPr>
        <w:t>capitais</w:t>
      </w:r>
      <w:proofErr w:type="spellEnd"/>
      <w:proofErr w:type="gramEnd"/>
      <w:r w:rsidR="008353F8" w:rsidRPr="00474548">
        <w:rPr>
          <w:i/>
          <w:iCs/>
          <w:sz w:val="22"/>
          <w:szCs w:val="22"/>
          <w:lang w:val="en-US"/>
        </w:rPr>
        <w:t xml:space="preserve"> </w:t>
      </w:r>
      <w:proofErr w:type="spellStart"/>
      <w:r w:rsidR="008353F8" w:rsidRPr="00474548">
        <w:rPr>
          <w:i/>
          <w:iCs/>
          <w:sz w:val="22"/>
          <w:szCs w:val="22"/>
          <w:lang w:val="en-US"/>
        </w:rPr>
        <w:t>privados</w:t>
      </w:r>
      <w:proofErr w:type="spellEnd"/>
      <w:r w:rsidR="008353F8" w:rsidRPr="00474548">
        <w:rPr>
          <w:i/>
          <w:iCs/>
          <w:sz w:val="22"/>
          <w:szCs w:val="22"/>
          <w:lang w:val="en-US"/>
        </w:rPr>
        <w:t xml:space="preserve"> e </w:t>
      </w:r>
      <w:proofErr w:type="spellStart"/>
      <w:r w:rsidR="008353F8" w:rsidRPr="00474548">
        <w:rPr>
          <w:i/>
          <w:iCs/>
          <w:sz w:val="22"/>
          <w:szCs w:val="22"/>
          <w:lang w:val="en-US"/>
        </w:rPr>
        <w:t>concorrência</w:t>
      </w:r>
      <w:proofErr w:type="spellEnd"/>
      <w:r w:rsidR="008353F8" w:rsidRPr="00474548">
        <w:rPr>
          <w:i/>
          <w:iCs/>
          <w:sz w:val="22"/>
          <w:szCs w:val="22"/>
          <w:lang w:val="en-US"/>
        </w:rPr>
        <w:t xml:space="preserve"> no </w:t>
      </w:r>
      <w:proofErr w:type="spellStart"/>
      <w:r w:rsidR="008353F8" w:rsidRPr="00474548">
        <w:rPr>
          <w:i/>
          <w:iCs/>
          <w:sz w:val="22"/>
          <w:szCs w:val="22"/>
          <w:lang w:val="en-US"/>
        </w:rPr>
        <w:t>setor</w:t>
      </w:r>
      <w:proofErr w:type="spellEnd"/>
      <w:r w:rsidR="008353F8" w:rsidRPr="00474548">
        <w:rPr>
          <w:i/>
          <w:iCs/>
          <w:sz w:val="22"/>
          <w:szCs w:val="22"/>
          <w:lang w:val="en-US"/>
        </w:rPr>
        <w:t xml:space="preserve"> </w:t>
      </w:r>
      <w:proofErr w:type="spellStart"/>
      <w:r w:rsidR="008353F8" w:rsidRPr="00474548">
        <w:rPr>
          <w:i/>
          <w:iCs/>
          <w:sz w:val="22"/>
          <w:szCs w:val="22"/>
          <w:lang w:val="en-US"/>
        </w:rPr>
        <w:t>elétrico</w:t>
      </w:r>
      <w:proofErr w:type="spellEnd"/>
      <w:r w:rsidR="008353F8" w:rsidRPr="00474548">
        <w:rPr>
          <w:i/>
          <w:iCs/>
          <w:sz w:val="22"/>
          <w:szCs w:val="22"/>
          <w:lang w:val="en-US"/>
        </w:rPr>
        <w:t xml:space="preserve"> </w:t>
      </w:r>
      <w:proofErr w:type="spellStart"/>
      <w:r w:rsidR="008353F8" w:rsidRPr="00474548">
        <w:rPr>
          <w:i/>
          <w:iCs/>
          <w:sz w:val="22"/>
          <w:szCs w:val="22"/>
          <w:lang w:val="en-US"/>
        </w:rPr>
        <w:t>brasileiro</w:t>
      </w:r>
      <w:proofErr w:type="spellEnd"/>
      <w:r w:rsidR="008353F8" w:rsidRPr="00474548">
        <w:rPr>
          <w:i/>
          <w:sz w:val="22"/>
          <w:szCs w:val="22"/>
          <w:lang w:val="en-US"/>
        </w:rPr>
        <w:t xml:space="preserve">: da </w:t>
      </w:r>
      <w:proofErr w:type="spellStart"/>
      <w:r w:rsidR="008353F8" w:rsidRPr="00474548">
        <w:rPr>
          <w:i/>
          <w:sz w:val="22"/>
          <w:szCs w:val="22"/>
          <w:lang w:val="en-US"/>
        </w:rPr>
        <w:t>constituição</w:t>
      </w:r>
      <w:proofErr w:type="spellEnd"/>
      <w:r w:rsidR="008353F8" w:rsidRPr="00474548">
        <w:rPr>
          <w:i/>
          <w:sz w:val="22"/>
          <w:szCs w:val="22"/>
          <w:lang w:val="en-US"/>
        </w:rPr>
        <w:t xml:space="preserve"> do </w:t>
      </w:r>
      <w:proofErr w:type="spellStart"/>
      <w:r w:rsidR="008353F8" w:rsidRPr="00474548">
        <w:rPr>
          <w:i/>
          <w:sz w:val="22"/>
          <w:szCs w:val="22"/>
          <w:lang w:val="en-US"/>
        </w:rPr>
        <w:t>modelo</w:t>
      </w:r>
      <w:proofErr w:type="spellEnd"/>
      <w:r w:rsidR="008353F8" w:rsidRPr="00474548">
        <w:rPr>
          <w:i/>
          <w:sz w:val="22"/>
          <w:szCs w:val="22"/>
          <w:lang w:val="en-US"/>
        </w:rPr>
        <w:t xml:space="preserve"> </w:t>
      </w:r>
      <w:proofErr w:type="spellStart"/>
      <w:r w:rsidR="008353F8" w:rsidRPr="00474548">
        <w:rPr>
          <w:i/>
          <w:sz w:val="22"/>
          <w:szCs w:val="22"/>
          <w:lang w:val="en-US"/>
        </w:rPr>
        <w:t>estatal</w:t>
      </w:r>
      <w:proofErr w:type="spellEnd"/>
      <w:r w:rsidR="008353F8" w:rsidRPr="00474548">
        <w:rPr>
          <w:i/>
          <w:sz w:val="22"/>
          <w:szCs w:val="22"/>
          <w:lang w:val="en-US"/>
        </w:rPr>
        <w:t xml:space="preserve"> à </w:t>
      </w:r>
      <w:proofErr w:type="spellStart"/>
      <w:r w:rsidR="008353F8" w:rsidRPr="00474548">
        <w:rPr>
          <w:i/>
          <w:sz w:val="22"/>
          <w:szCs w:val="22"/>
          <w:lang w:val="en-US"/>
        </w:rPr>
        <w:t>crise</w:t>
      </w:r>
      <w:proofErr w:type="spellEnd"/>
      <w:r w:rsidR="008353F8" w:rsidRPr="00474548">
        <w:rPr>
          <w:i/>
          <w:sz w:val="22"/>
          <w:szCs w:val="22"/>
          <w:lang w:val="en-US"/>
        </w:rPr>
        <w:t xml:space="preserve"> do </w:t>
      </w:r>
      <w:proofErr w:type="spellStart"/>
      <w:r w:rsidR="008353F8" w:rsidRPr="00474548">
        <w:rPr>
          <w:i/>
          <w:sz w:val="22"/>
          <w:szCs w:val="22"/>
          <w:lang w:val="en-US"/>
        </w:rPr>
        <w:t>modelo</w:t>
      </w:r>
      <w:proofErr w:type="spellEnd"/>
      <w:r w:rsidR="008353F8" w:rsidRPr="00474548">
        <w:rPr>
          <w:i/>
          <w:sz w:val="22"/>
          <w:szCs w:val="22"/>
          <w:lang w:val="en-US"/>
        </w:rPr>
        <w:t xml:space="preserve"> </w:t>
      </w:r>
      <w:proofErr w:type="spellStart"/>
      <w:r w:rsidR="008353F8" w:rsidRPr="00474548">
        <w:rPr>
          <w:i/>
          <w:sz w:val="22"/>
          <w:szCs w:val="22"/>
          <w:lang w:val="en-US"/>
        </w:rPr>
        <w:t>competitivo</w:t>
      </w:r>
      <w:proofErr w:type="spellEnd"/>
      <w:r w:rsidR="004E51E0" w:rsidRPr="00474548">
        <w:rPr>
          <w:sz w:val="22"/>
          <w:szCs w:val="22"/>
          <w:lang w:val="en-US"/>
        </w:rPr>
        <w:t xml:space="preserve">, </w:t>
      </w:r>
      <w:r w:rsidR="008353F8" w:rsidRPr="00474548">
        <w:rPr>
          <w:sz w:val="22"/>
          <w:szCs w:val="22"/>
          <w:lang w:val="en-US"/>
        </w:rPr>
        <w:t xml:space="preserve">2004. 237f. </w:t>
      </w:r>
      <w:proofErr w:type="spellStart"/>
      <w:r w:rsidR="008353F8" w:rsidRPr="00474548">
        <w:rPr>
          <w:sz w:val="22"/>
          <w:szCs w:val="22"/>
          <w:lang w:val="en-US"/>
        </w:rPr>
        <w:t>Tese</w:t>
      </w:r>
      <w:proofErr w:type="spellEnd"/>
      <w:r w:rsidR="008353F8" w:rsidRPr="00474548">
        <w:rPr>
          <w:sz w:val="22"/>
          <w:szCs w:val="22"/>
          <w:lang w:val="en-US"/>
        </w:rPr>
        <w:t xml:space="preserve"> (</w:t>
      </w:r>
      <w:proofErr w:type="spellStart"/>
      <w:r w:rsidR="008353F8" w:rsidRPr="00474548">
        <w:rPr>
          <w:sz w:val="22"/>
          <w:szCs w:val="22"/>
          <w:lang w:val="en-US"/>
        </w:rPr>
        <w:t>Doutorado</w:t>
      </w:r>
      <w:proofErr w:type="spellEnd"/>
      <w:r w:rsidR="008353F8" w:rsidRPr="00474548">
        <w:rPr>
          <w:sz w:val="22"/>
          <w:szCs w:val="22"/>
          <w:lang w:val="en-US"/>
        </w:rPr>
        <w:t xml:space="preserve"> em </w:t>
      </w:r>
      <w:proofErr w:type="spellStart"/>
      <w:r w:rsidR="008353F8" w:rsidRPr="00474548">
        <w:rPr>
          <w:sz w:val="22"/>
          <w:szCs w:val="22"/>
          <w:lang w:val="en-US"/>
        </w:rPr>
        <w:t>Economia</w:t>
      </w:r>
      <w:proofErr w:type="spellEnd"/>
      <w:r w:rsidR="008353F8" w:rsidRPr="00474548">
        <w:rPr>
          <w:sz w:val="22"/>
          <w:szCs w:val="22"/>
          <w:lang w:val="en-US"/>
        </w:rPr>
        <w:t xml:space="preserve">). </w:t>
      </w:r>
      <w:proofErr w:type="spellStart"/>
      <w:r w:rsidR="008353F8" w:rsidRPr="00474548">
        <w:rPr>
          <w:sz w:val="22"/>
          <w:szCs w:val="22"/>
          <w:lang w:val="en-US"/>
        </w:rPr>
        <w:t>Instituto</w:t>
      </w:r>
      <w:proofErr w:type="spellEnd"/>
      <w:r w:rsidR="008353F8" w:rsidRPr="00474548">
        <w:rPr>
          <w:sz w:val="22"/>
          <w:szCs w:val="22"/>
          <w:lang w:val="en-US"/>
        </w:rPr>
        <w:t xml:space="preserve"> de </w:t>
      </w:r>
      <w:proofErr w:type="spellStart"/>
      <w:r w:rsidR="008353F8" w:rsidRPr="00474548">
        <w:rPr>
          <w:sz w:val="22"/>
          <w:szCs w:val="22"/>
          <w:lang w:val="en-US"/>
        </w:rPr>
        <w:t>Economia</w:t>
      </w:r>
      <w:proofErr w:type="spellEnd"/>
      <w:r w:rsidR="008353F8" w:rsidRPr="00474548">
        <w:rPr>
          <w:sz w:val="22"/>
          <w:szCs w:val="22"/>
          <w:lang w:val="en-US"/>
        </w:rPr>
        <w:t xml:space="preserve">, Universidade </w:t>
      </w:r>
      <w:proofErr w:type="spellStart"/>
      <w:r w:rsidR="008353F8" w:rsidRPr="00474548">
        <w:rPr>
          <w:sz w:val="22"/>
          <w:szCs w:val="22"/>
          <w:lang w:val="en-US"/>
        </w:rPr>
        <w:t>Estadual</w:t>
      </w:r>
      <w:proofErr w:type="spellEnd"/>
      <w:r w:rsidR="008353F8" w:rsidRPr="00474548">
        <w:rPr>
          <w:sz w:val="22"/>
          <w:szCs w:val="22"/>
          <w:lang w:val="en-US"/>
        </w:rPr>
        <w:t xml:space="preserve"> de Campinas, Campinas, SP, 2004. </w:t>
      </w:r>
    </w:p>
    <w:p w14:paraId="0D0A42BC" w14:textId="3B44E88D" w:rsidR="008353F8" w:rsidRPr="00474548" w:rsidRDefault="00D000CC" w:rsidP="005D1E75">
      <w:pPr>
        <w:widowControl/>
        <w:suppressAutoHyphens w:val="0"/>
        <w:ind w:left="720" w:hanging="720"/>
        <w:jc w:val="both"/>
        <w:rPr>
          <w:rFonts w:eastAsiaTheme="minorEastAsia"/>
          <w:kern w:val="0"/>
          <w:sz w:val="22"/>
          <w:szCs w:val="22"/>
          <w:lang w:val="en-US" w:eastAsia="en-US"/>
        </w:rPr>
      </w:pPr>
      <w:r w:rsidRPr="00474548">
        <w:rPr>
          <w:rFonts w:eastAsiaTheme="minorEastAsia"/>
          <w:kern w:val="0"/>
          <w:sz w:val="22"/>
          <w:szCs w:val="22"/>
          <w:lang w:val="en-US" w:eastAsia="en-US"/>
        </w:rPr>
        <w:t>Castro, A. A. (2010</w:t>
      </w:r>
      <w:r w:rsidR="004E51E0" w:rsidRPr="00474548">
        <w:rPr>
          <w:rFonts w:eastAsiaTheme="minorEastAsia"/>
          <w:kern w:val="0"/>
          <w:sz w:val="22"/>
          <w:szCs w:val="22"/>
          <w:lang w:val="en-US" w:eastAsia="en-US"/>
        </w:rPr>
        <w:t xml:space="preserve">), </w:t>
      </w:r>
      <w:proofErr w:type="spellStart"/>
      <w:r w:rsidR="008353F8" w:rsidRPr="00474548">
        <w:rPr>
          <w:rFonts w:eastAsiaTheme="minorEastAsia"/>
          <w:i/>
          <w:kern w:val="0"/>
          <w:sz w:val="22"/>
          <w:szCs w:val="22"/>
          <w:lang w:val="en-US" w:eastAsia="en-US"/>
        </w:rPr>
        <w:t>Revisão</w:t>
      </w:r>
      <w:proofErr w:type="spellEnd"/>
      <w:r w:rsidR="008353F8" w:rsidRPr="00474548">
        <w:rPr>
          <w:rFonts w:eastAsiaTheme="minorEastAsia"/>
          <w:i/>
          <w:kern w:val="0"/>
          <w:sz w:val="22"/>
          <w:szCs w:val="22"/>
          <w:lang w:val="en-US" w:eastAsia="en-US"/>
        </w:rPr>
        <w:t xml:space="preserve"> </w:t>
      </w:r>
      <w:proofErr w:type="spellStart"/>
      <w:r w:rsidR="008353F8" w:rsidRPr="00474548">
        <w:rPr>
          <w:rFonts w:eastAsiaTheme="minorEastAsia"/>
          <w:i/>
          <w:kern w:val="0"/>
          <w:sz w:val="22"/>
          <w:szCs w:val="22"/>
          <w:lang w:val="en-US" w:eastAsia="en-US"/>
        </w:rPr>
        <w:t>sistemática</w:t>
      </w:r>
      <w:proofErr w:type="spellEnd"/>
      <w:r w:rsidR="008353F8" w:rsidRPr="00474548">
        <w:rPr>
          <w:rFonts w:eastAsiaTheme="minorEastAsia"/>
          <w:i/>
          <w:kern w:val="0"/>
          <w:sz w:val="22"/>
          <w:szCs w:val="22"/>
          <w:lang w:val="en-US" w:eastAsia="en-US"/>
        </w:rPr>
        <w:t xml:space="preserve"> e </w:t>
      </w:r>
      <w:proofErr w:type="spellStart"/>
      <w:r w:rsidR="008353F8" w:rsidRPr="00474548">
        <w:rPr>
          <w:rFonts w:eastAsiaTheme="minorEastAsia"/>
          <w:i/>
          <w:kern w:val="0"/>
          <w:sz w:val="22"/>
          <w:szCs w:val="22"/>
          <w:lang w:val="en-US" w:eastAsia="en-US"/>
        </w:rPr>
        <w:t>meta-análise</w:t>
      </w:r>
      <w:proofErr w:type="spellEnd"/>
      <w:r w:rsidR="008353F8" w:rsidRPr="00474548">
        <w:rPr>
          <w:rFonts w:eastAsiaTheme="minorEastAsia"/>
          <w:kern w:val="0"/>
          <w:sz w:val="22"/>
          <w:szCs w:val="22"/>
          <w:lang w:val="en-US" w:eastAsia="en-US"/>
        </w:rPr>
        <w:t xml:space="preserve"> [site da internet]. </w:t>
      </w:r>
      <w:proofErr w:type="spellStart"/>
      <w:r w:rsidR="008353F8" w:rsidRPr="00474548">
        <w:rPr>
          <w:rFonts w:eastAsiaTheme="minorEastAsia"/>
          <w:kern w:val="0"/>
          <w:sz w:val="22"/>
          <w:szCs w:val="22"/>
          <w:lang w:val="en-US" w:eastAsia="en-US"/>
        </w:rPr>
        <w:t>Disponível</w:t>
      </w:r>
      <w:proofErr w:type="spellEnd"/>
      <w:r w:rsidR="008353F8" w:rsidRPr="00474548">
        <w:rPr>
          <w:rFonts w:eastAsiaTheme="minorEastAsia"/>
          <w:kern w:val="0"/>
          <w:sz w:val="22"/>
          <w:szCs w:val="22"/>
          <w:lang w:val="en-US" w:eastAsia="en-US"/>
        </w:rPr>
        <w:t xml:space="preserve"> em http://metodologia.org/wp-content/uploads/2010/08/meta1.PDF (</w:t>
      </w:r>
      <w:proofErr w:type="spellStart"/>
      <w:r w:rsidR="008353F8" w:rsidRPr="00474548">
        <w:rPr>
          <w:rFonts w:eastAsiaTheme="minorEastAsia"/>
          <w:kern w:val="0"/>
          <w:sz w:val="22"/>
          <w:szCs w:val="22"/>
          <w:lang w:val="en-US" w:eastAsia="en-US"/>
        </w:rPr>
        <w:t>acesso</w:t>
      </w:r>
      <w:proofErr w:type="spellEnd"/>
      <w:r w:rsidR="008353F8" w:rsidRPr="00474548">
        <w:rPr>
          <w:rFonts w:eastAsiaTheme="minorEastAsia"/>
          <w:kern w:val="0"/>
          <w:sz w:val="22"/>
          <w:szCs w:val="22"/>
          <w:lang w:val="en-US" w:eastAsia="en-US"/>
        </w:rPr>
        <w:t xml:space="preserve"> em </w:t>
      </w:r>
      <w:proofErr w:type="spellStart"/>
      <w:r w:rsidR="00BA7477" w:rsidRPr="00474548">
        <w:rPr>
          <w:rFonts w:eastAsiaTheme="minorEastAsia"/>
          <w:kern w:val="0"/>
          <w:sz w:val="22"/>
          <w:szCs w:val="22"/>
          <w:lang w:val="en-US" w:eastAsia="en-US"/>
        </w:rPr>
        <w:t>N</w:t>
      </w:r>
      <w:r w:rsidR="008353F8" w:rsidRPr="00474548">
        <w:rPr>
          <w:rFonts w:eastAsiaTheme="minorEastAsia"/>
          <w:kern w:val="0"/>
          <w:sz w:val="22"/>
          <w:szCs w:val="22"/>
          <w:lang w:val="en-US" w:eastAsia="en-US"/>
        </w:rPr>
        <w:t>ovembro</w:t>
      </w:r>
      <w:proofErr w:type="spellEnd"/>
      <w:r w:rsidR="008353F8" w:rsidRPr="00474548">
        <w:rPr>
          <w:rFonts w:eastAsiaTheme="minorEastAsia"/>
          <w:kern w:val="0"/>
          <w:sz w:val="22"/>
          <w:szCs w:val="22"/>
          <w:lang w:val="en-US" w:eastAsia="en-US"/>
        </w:rPr>
        <w:t xml:space="preserve"> de 2014)</w:t>
      </w:r>
      <w:r w:rsidR="00381F16" w:rsidRPr="00474548">
        <w:rPr>
          <w:rFonts w:eastAsiaTheme="minorEastAsia"/>
          <w:kern w:val="0"/>
          <w:sz w:val="22"/>
          <w:szCs w:val="22"/>
          <w:lang w:val="en-US" w:eastAsia="en-US"/>
        </w:rPr>
        <w:t>.</w:t>
      </w:r>
    </w:p>
    <w:p w14:paraId="5DAED07B" w14:textId="20A94EDE" w:rsidR="008353F8" w:rsidRPr="00474548" w:rsidRDefault="00A24B3D" w:rsidP="005D1E75">
      <w:pPr>
        <w:ind w:left="720" w:hanging="720"/>
        <w:jc w:val="both"/>
        <w:rPr>
          <w:sz w:val="22"/>
          <w:szCs w:val="22"/>
          <w:lang w:val="en-US"/>
        </w:rPr>
      </w:pPr>
      <w:r w:rsidRPr="00474548">
        <w:rPr>
          <w:sz w:val="22"/>
          <w:szCs w:val="22"/>
          <w:lang w:val="en-US"/>
        </w:rPr>
        <w:t>Castro Silva, W. A.</w:t>
      </w:r>
      <w:r w:rsidR="008353F8" w:rsidRPr="00474548">
        <w:rPr>
          <w:sz w:val="22"/>
          <w:szCs w:val="22"/>
          <w:lang w:val="en-US"/>
        </w:rPr>
        <w:t xml:space="preserve"> </w:t>
      </w:r>
      <w:r w:rsidRPr="00474548">
        <w:rPr>
          <w:sz w:val="22"/>
          <w:szCs w:val="22"/>
          <w:lang w:val="en-US"/>
        </w:rPr>
        <w:t>(</w:t>
      </w:r>
      <w:r w:rsidR="008353F8" w:rsidRPr="00474548">
        <w:rPr>
          <w:sz w:val="22"/>
          <w:szCs w:val="22"/>
          <w:lang w:val="en-US"/>
        </w:rPr>
        <w:t>2007</w:t>
      </w:r>
      <w:r w:rsidRPr="00474548">
        <w:rPr>
          <w:sz w:val="22"/>
          <w:szCs w:val="22"/>
          <w:lang w:val="en-US"/>
        </w:rPr>
        <w:t>),</w:t>
      </w:r>
      <w:r w:rsidR="008353F8" w:rsidRPr="00474548">
        <w:rPr>
          <w:sz w:val="22"/>
          <w:szCs w:val="22"/>
          <w:lang w:val="en-US"/>
        </w:rPr>
        <w:t xml:space="preserve"> </w:t>
      </w:r>
      <w:proofErr w:type="spellStart"/>
      <w:r w:rsidR="008353F8" w:rsidRPr="00474548">
        <w:rPr>
          <w:i/>
          <w:sz w:val="22"/>
          <w:szCs w:val="22"/>
          <w:lang w:val="en-US"/>
        </w:rPr>
        <w:t>Investimento</w:t>
      </w:r>
      <w:proofErr w:type="spellEnd"/>
      <w:r w:rsidR="008353F8" w:rsidRPr="00474548">
        <w:rPr>
          <w:i/>
          <w:sz w:val="22"/>
          <w:szCs w:val="22"/>
          <w:lang w:val="en-US"/>
        </w:rPr>
        <w:t xml:space="preserve">, </w:t>
      </w:r>
      <w:proofErr w:type="spellStart"/>
      <w:r w:rsidR="008353F8" w:rsidRPr="00474548">
        <w:rPr>
          <w:i/>
          <w:sz w:val="22"/>
          <w:szCs w:val="22"/>
          <w:lang w:val="en-US"/>
        </w:rPr>
        <w:t>regulação</w:t>
      </w:r>
      <w:proofErr w:type="spellEnd"/>
      <w:r w:rsidR="008353F8" w:rsidRPr="00474548">
        <w:rPr>
          <w:i/>
          <w:sz w:val="22"/>
          <w:szCs w:val="22"/>
          <w:lang w:val="en-US"/>
        </w:rPr>
        <w:t xml:space="preserve"> e </w:t>
      </w:r>
      <w:proofErr w:type="spellStart"/>
      <w:r w:rsidR="008353F8" w:rsidRPr="00474548">
        <w:rPr>
          <w:i/>
          <w:sz w:val="22"/>
          <w:szCs w:val="22"/>
          <w:lang w:val="en-US"/>
        </w:rPr>
        <w:t>mercado</w:t>
      </w:r>
      <w:proofErr w:type="spellEnd"/>
      <w:r w:rsidR="008353F8" w:rsidRPr="00474548">
        <w:rPr>
          <w:i/>
          <w:sz w:val="22"/>
          <w:szCs w:val="22"/>
          <w:lang w:val="en-US"/>
        </w:rPr>
        <w:t xml:space="preserve">: </w:t>
      </w:r>
      <w:proofErr w:type="spellStart"/>
      <w:r w:rsidR="008353F8" w:rsidRPr="00474548">
        <w:rPr>
          <w:i/>
          <w:sz w:val="22"/>
          <w:szCs w:val="22"/>
          <w:lang w:val="en-US"/>
        </w:rPr>
        <w:t>uma</w:t>
      </w:r>
      <w:proofErr w:type="spellEnd"/>
      <w:r w:rsidR="008353F8" w:rsidRPr="00474548">
        <w:rPr>
          <w:i/>
          <w:sz w:val="22"/>
          <w:szCs w:val="22"/>
          <w:lang w:val="en-US"/>
        </w:rPr>
        <w:t xml:space="preserve"> </w:t>
      </w:r>
      <w:proofErr w:type="spellStart"/>
      <w:r w:rsidR="008353F8" w:rsidRPr="00474548">
        <w:rPr>
          <w:i/>
          <w:sz w:val="22"/>
          <w:szCs w:val="22"/>
          <w:lang w:val="en-US"/>
        </w:rPr>
        <w:t>análise</w:t>
      </w:r>
      <w:proofErr w:type="spellEnd"/>
      <w:r w:rsidR="008353F8" w:rsidRPr="00474548">
        <w:rPr>
          <w:i/>
          <w:sz w:val="22"/>
          <w:szCs w:val="22"/>
          <w:lang w:val="en-US"/>
        </w:rPr>
        <w:t xml:space="preserve"> do </w:t>
      </w:r>
      <w:proofErr w:type="spellStart"/>
      <w:r w:rsidR="008353F8" w:rsidRPr="00474548">
        <w:rPr>
          <w:i/>
          <w:sz w:val="22"/>
          <w:szCs w:val="22"/>
          <w:lang w:val="en-US"/>
        </w:rPr>
        <w:t>risco</w:t>
      </w:r>
      <w:proofErr w:type="spellEnd"/>
      <w:r w:rsidR="008353F8" w:rsidRPr="00474548">
        <w:rPr>
          <w:i/>
          <w:sz w:val="22"/>
          <w:szCs w:val="22"/>
          <w:lang w:val="en-US"/>
        </w:rPr>
        <w:t xml:space="preserve"> no </w:t>
      </w:r>
      <w:proofErr w:type="spellStart"/>
      <w:r w:rsidR="008353F8" w:rsidRPr="00474548">
        <w:rPr>
          <w:i/>
          <w:sz w:val="22"/>
          <w:szCs w:val="22"/>
          <w:lang w:val="en-US"/>
        </w:rPr>
        <w:t>setor</w:t>
      </w:r>
      <w:proofErr w:type="spellEnd"/>
      <w:r w:rsidR="008353F8" w:rsidRPr="00474548">
        <w:rPr>
          <w:i/>
          <w:sz w:val="22"/>
          <w:szCs w:val="22"/>
          <w:lang w:val="en-US"/>
        </w:rPr>
        <w:t xml:space="preserve"> </w:t>
      </w:r>
      <w:proofErr w:type="spellStart"/>
      <w:r w:rsidR="008353F8" w:rsidRPr="00474548">
        <w:rPr>
          <w:i/>
          <w:sz w:val="22"/>
          <w:szCs w:val="22"/>
          <w:lang w:val="en-US"/>
        </w:rPr>
        <w:t>elétrico</w:t>
      </w:r>
      <w:proofErr w:type="spellEnd"/>
      <w:r w:rsidR="004E51E0" w:rsidRPr="00474548">
        <w:rPr>
          <w:sz w:val="22"/>
          <w:szCs w:val="22"/>
          <w:lang w:val="en-US"/>
        </w:rPr>
        <w:t>,</w:t>
      </w:r>
      <w:r w:rsidR="008353F8" w:rsidRPr="00474548">
        <w:rPr>
          <w:sz w:val="22"/>
          <w:szCs w:val="22"/>
          <w:lang w:val="en-US"/>
        </w:rPr>
        <w:t xml:space="preserve"> 2007. 430 p. </w:t>
      </w:r>
      <w:proofErr w:type="spellStart"/>
      <w:r w:rsidR="008353F8" w:rsidRPr="00474548">
        <w:rPr>
          <w:sz w:val="22"/>
          <w:szCs w:val="22"/>
          <w:lang w:val="en-US"/>
        </w:rPr>
        <w:t>Tese</w:t>
      </w:r>
      <w:proofErr w:type="spellEnd"/>
      <w:r w:rsidR="008353F8" w:rsidRPr="00474548">
        <w:rPr>
          <w:sz w:val="22"/>
          <w:szCs w:val="22"/>
          <w:lang w:val="en-US"/>
        </w:rPr>
        <w:t xml:space="preserve"> (</w:t>
      </w:r>
      <w:proofErr w:type="spellStart"/>
      <w:r w:rsidR="008353F8" w:rsidRPr="00474548">
        <w:rPr>
          <w:sz w:val="22"/>
          <w:szCs w:val="22"/>
          <w:lang w:val="en-US"/>
        </w:rPr>
        <w:t>Doutorado</w:t>
      </w:r>
      <w:proofErr w:type="spellEnd"/>
      <w:r w:rsidR="008353F8" w:rsidRPr="00474548">
        <w:rPr>
          <w:sz w:val="22"/>
          <w:szCs w:val="22"/>
          <w:lang w:val="en-US"/>
        </w:rPr>
        <w:t xml:space="preserve"> em </w:t>
      </w:r>
      <w:proofErr w:type="spellStart"/>
      <w:r w:rsidR="008353F8" w:rsidRPr="00474548">
        <w:rPr>
          <w:sz w:val="22"/>
          <w:szCs w:val="22"/>
          <w:lang w:val="en-US"/>
        </w:rPr>
        <w:t>Administração</w:t>
      </w:r>
      <w:proofErr w:type="spellEnd"/>
      <w:r w:rsidR="008353F8" w:rsidRPr="00474548">
        <w:rPr>
          <w:sz w:val="22"/>
          <w:szCs w:val="22"/>
          <w:lang w:val="en-US"/>
        </w:rPr>
        <w:t xml:space="preserve">). </w:t>
      </w:r>
      <w:proofErr w:type="spellStart"/>
      <w:r w:rsidR="008353F8" w:rsidRPr="00474548">
        <w:rPr>
          <w:sz w:val="22"/>
          <w:szCs w:val="22"/>
          <w:lang w:val="en-US"/>
        </w:rPr>
        <w:t>Curso</w:t>
      </w:r>
      <w:proofErr w:type="spellEnd"/>
      <w:r w:rsidR="008353F8" w:rsidRPr="00474548">
        <w:rPr>
          <w:sz w:val="22"/>
          <w:szCs w:val="22"/>
          <w:lang w:val="en-US"/>
        </w:rPr>
        <w:t xml:space="preserve"> de </w:t>
      </w:r>
      <w:proofErr w:type="spellStart"/>
      <w:r w:rsidR="008353F8" w:rsidRPr="00474548">
        <w:rPr>
          <w:sz w:val="22"/>
          <w:szCs w:val="22"/>
          <w:lang w:val="en-US"/>
        </w:rPr>
        <w:t>Pós</w:t>
      </w:r>
      <w:proofErr w:type="spellEnd"/>
      <w:r w:rsidR="008353F8" w:rsidRPr="00474548">
        <w:rPr>
          <w:sz w:val="22"/>
          <w:szCs w:val="22"/>
          <w:lang w:val="en-US"/>
        </w:rPr>
        <w:t xml:space="preserve">- </w:t>
      </w:r>
      <w:proofErr w:type="spellStart"/>
      <w:r w:rsidR="008353F8" w:rsidRPr="00474548">
        <w:rPr>
          <w:sz w:val="22"/>
          <w:szCs w:val="22"/>
          <w:lang w:val="en-US"/>
        </w:rPr>
        <w:t>graduação</w:t>
      </w:r>
      <w:proofErr w:type="spellEnd"/>
      <w:r w:rsidR="008353F8" w:rsidRPr="00474548">
        <w:rPr>
          <w:sz w:val="22"/>
          <w:szCs w:val="22"/>
          <w:lang w:val="en-US"/>
        </w:rPr>
        <w:t xml:space="preserve"> em </w:t>
      </w:r>
      <w:proofErr w:type="spellStart"/>
      <w:r w:rsidR="008353F8" w:rsidRPr="00474548">
        <w:rPr>
          <w:sz w:val="22"/>
          <w:szCs w:val="22"/>
          <w:lang w:val="en-US"/>
        </w:rPr>
        <w:lastRenderedPageBreak/>
        <w:t>Administração</w:t>
      </w:r>
      <w:proofErr w:type="spellEnd"/>
      <w:r w:rsidR="008353F8" w:rsidRPr="00474548">
        <w:rPr>
          <w:sz w:val="22"/>
          <w:szCs w:val="22"/>
          <w:lang w:val="en-US"/>
        </w:rPr>
        <w:t xml:space="preserve"> de </w:t>
      </w:r>
      <w:proofErr w:type="spellStart"/>
      <w:r w:rsidR="008353F8" w:rsidRPr="00474548">
        <w:rPr>
          <w:sz w:val="22"/>
          <w:szCs w:val="22"/>
          <w:lang w:val="en-US"/>
        </w:rPr>
        <w:t>Empresas</w:t>
      </w:r>
      <w:proofErr w:type="spellEnd"/>
      <w:r w:rsidR="008353F8" w:rsidRPr="00474548">
        <w:rPr>
          <w:sz w:val="22"/>
          <w:szCs w:val="22"/>
          <w:lang w:val="en-US"/>
        </w:rPr>
        <w:t xml:space="preserve">. Universidade Federal de </w:t>
      </w:r>
      <w:proofErr w:type="spellStart"/>
      <w:r w:rsidR="008353F8" w:rsidRPr="00474548">
        <w:rPr>
          <w:sz w:val="22"/>
          <w:szCs w:val="22"/>
          <w:lang w:val="en-US"/>
        </w:rPr>
        <w:t>Lavras</w:t>
      </w:r>
      <w:proofErr w:type="spellEnd"/>
      <w:r w:rsidR="008353F8" w:rsidRPr="00474548">
        <w:rPr>
          <w:sz w:val="22"/>
          <w:szCs w:val="22"/>
          <w:lang w:val="en-US"/>
        </w:rPr>
        <w:t xml:space="preserve"> - UFLA, </w:t>
      </w:r>
      <w:proofErr w:type="spellStart"/>
      <w:r w:rsidR="008353F8" w:rsidRPr="00474548">
        <w:rPr>
          <w:sz w:val="22"/>
          <w:szCs w:val="22"/>
          <w:lang w:val="en-US"/>
        </w:rPr>
        <w:t>Lavras</w:t>
      </w:r>
      <w:proofErr w:type="spellEnd"/>
      <w:r w:rsidR="008353F8" w:rsidRPr="00474548">
        <w:rPr>
          <w:sz w:val="22"/>
          <w:szCs w:val="22"/>
          <w:lang w:val="en-US"/>
        </w:rPr>
        <w:t>, MG.</w:t>
      </w:r>
    </w:p>
    <w:p w14:paraId="1680E2A4" w14:textId="3AB02DA9" w:rsidR="008353F8" w:rsidRPr="00474548" w:rsidRDefault="00A24B3D" w:rsidP="005D1E75">
      <w:pPr>
        <w:ind w:left="720" w:hanging="720"/>
        <w:jc w:val="both"/>
        <w:rPr>
          <w:sz w:val="22"/>
          <w:szCs w:val="22"/>
          <w:lang w:val="en-US"/>
        </w:rPr>
      </w:pPr>
      <w:proofErr w:type="spellStart"/>
      <w:r w:rsidRPr="00474548">
        <w:rPr>
          <w:sz w:val="22"/>
          <w:szCs w:val="22"/>
          <w:lang w:val="en-US"/>
        </w:rPr>
        <w:t>Cosnkun</w:t>
      </w:r>
      <w:proofErr w:type="spellEnd"/>
      <w:r w:rsidRPr="00474548">
        <w:rPr>
          <w:sz w:val="22"/>
          <w:szCs w:val="22"/>
          <w:lang w:val="en-US"/>
        </w:rPr>
        <w:t xml:space="preserve">, H., </w:t>
      </w:r>
      <w:proofErr w:type="spellStart"/>
      <w:r w:rsidRPr="00474548">
        <w:rPr>
          <w:sz w:val="22"/>
          <w:szCs w:val="22"/>
          <w:lang w:val="en-US"/>
        </w:rPr>
        <w:t>Huseyin</w:t>
      </w:r>
      <w:proofErr w:type="spellEnd"/>
      <w:r w:rsidRPr="00474548">
        <w:rPr>
          <w:sz w:val="22"/>
          <w:szCs w:val="22"/>
          <w:lang w:val="en-US"/>
        </w:rPr>
        <w:t xml:space="preserve"> A.E. (2014),</w:t>
      </w:r>
      <w:r w:rsidR="008353F8" w:rsidRPr="00474548">
        <w:rPr>
          <w:sz w:val="22"/>
          <w:szCs w:val="22"/>
          <w:lang w:val="en-US"/>
        </w:rPr>
        <w:t xml:space="preserve"> </w:t>
      </w:r>
      <w:r w:rsidR="008353F8" w:rsidRPr="00474548">
        <w:rPr>
          <w:i/>
          <w:sz w:val="22"/>
          <w:szCs w:val="22"/>
          <w:lang w:val="en-US"/>
        </w:rPr>
        <w:t>Forecasting the annual ele</w:t>
      </w:r>
      <w:r w:rsidR="00381F16" w:rsidRPr="00474548">
        <w:rPr>
          <w:i/>
          <w:sz w:val="22"/>
          <w:szCs w:val="22"/>
          <w:lang w:val="en-US"/>
        </w:rPr>
        <w:t>c</w:t>
      </w:r>
      <w:r w:rsidR="008353F8" w:rsidRPr="00474548">
        <w:rPr>
          <w:i/>
          <w:sz w:val="22"/>
          <w:szCs w:val="22"/>
          <w:lang w:val="en-US"/>
        </w:rPr>
        <w:t>tricity consumption of Turkey using an opti</w:t>
      </w:r>
      <w:r w:rsidR="00381F16" w:rsidRPr="00474548">
        <w:rPr>
          <w:i/>
          <w:sz w:val="22"/>
          <w:szCs w:val="22"/>
          <w:lang w:val="en-US"/>
        </w:rPr>
        <w:t>mi</w:t>
      </w:r>
      <w:r w:rsidR="008353F8" w:rsidRPr="00474548">
        <w:rPr>
          <w:i/>
          <w:sz w:val="22"/>
          <w:szCs w:val="22"/>
          <w:lang w:val="en-US"/>
        </w:rPr>
        <w:t>zed g</w:t>
      </w:r>
      <w:r w:rsidR="00FC2E66" w:rsidRPr="00474548">
        <w:rPr>
          <w:i/>
          <w:sz w:val="22"/>
          <w:szCs w:val="22"/>
          <w:lang w:val="en-US"/>
        </w:rPr>
        <w:t>r</w:t>
      </w:r>
      <w:r w:rsidR="008353F8" w:rsidRPr="00474548">
        <w:rPr>
          <w:i/>
          <w:sz w:val="22"/>
          <w:szCs w:val="22"/>
          <w:lang w:val="en-US"/>
        </w:rPr>
        <w:t>ey model</w:t>
      </w:r>
      <w:r w:rsidR="008353F8" w:rsidRPr="00474548">
        <w:rPr>
          <w:sz w:val="22"/>
          <w:szCs w:val="22"/>
          <w:lang w:val="en-US"/>
        </w:rPr>
        <w:t>, Energy. 70, 165-171.</w:t>
      </w:r>
    </w:p>
    <w:p w14:paraId="69836CE4" w14:textId="0B4EC0A6" w:rsidR="008353F8" w:rsidRPr="00474548" w:rsidRDefault="00A24B3D" w:rsidP="005D1E75">
      <w:pPr>
        <w:ind w:left="720" w:hanging="720"/>
        <w:jc w:val="both"/>
        <w:rPr>
          <w:sz w:val="22"/>
          <w:szCs w:val="22"/>
          <w:shd w:val="clear" w:color="auto" w:fill="FFFFFF"/>
          <w:lang w:val="en-US"/>
        </w:rPr>
      </w:pPr>
      <w:proofErr w:type="spellStart"/>
      <w:r w:rsidRPr="00474548">
        <w:rPr>
          <w:sz w:val="22"/>
          <w:szCs w:val="22"/>
          <w:shd w:val="clear" w:color="auto" w:fill="FFFFFF"/>
          <w:lang w:val="en-US"/>
        </w:rPr>
        <w:t>Depoorter</w:t>
      </w:r>
      <w:proofErr w:type="spellEnd"/>
      <w:r w:rsidRPr="00474548">
        <w:rPr>
          <w:sz w:val="22"/>
          <w:szCs w:val="22"/>
          <w:shd w:val="clear" w:color="auto" w:fill="FFFFFF"/>
          <w:lang w:val="en-US"/>
        </w:rPr>
        <w:t>, B. (</w:t>
      </w:r>
      <w:r w:rsidR="008353F8" w:rsidRPr="00474548">
        <w:rPr>
          <w:sz w:val="22"/>
          <w:szCs w:val="22"/>
          <w:shd w:val="clear" w:color="auto" w:fill="FFFFFF"/>
          <w:lang w:val="en-US"/>
        </w:rPr>
        <w:t>1999</w:t>
      </w:r>
      <w:r w:rsidRPr="00474548">
        <w:rPr>
          <w:sz w:val="22"/>
          <w:szCs w:val="22"/>
          <w:shd w:val="clear" w:color="auto" w:fill="FFFFFF"/>
          <w:lang w:val="en-US"/>
        </w:rPr>
        <w:t>),</w:t>
      </w:r>
      <w:r w:rsidR="008353F8" w:rsidRPr="00474548">
        <w:rPr>
          <w:sz w:val="22"/>
          <w:szCs w:val="22"/>
          <w:shd w:val="clear" w:color="auto" w:fill="FFFFFF"/>
          <w:lang w:val="en-US"/>
        </w:rPr>
        <w:t xml:space="preserve"> </w:t>
      </w:r>
      <w:r w:rsidR="008353F8" w:rsidRPr="00474548">
        <w:rPr>
          <w:i/>
          <w:sz w:val="22"/>
          <w:szCs w:val="22"/>
          <w:shd w:val="clear" w:color="auto" w:fill="FFFFFF"/>
          <w:lang w:val="en-US"/>
        </w:rPr>
        <w:t xml:space="preserve">Regulation of natural monopoly. </w:t>
      </w:r>
      <w:r w:rsidR="008353F8" w:rsidRPr="00474548">
        <w:rPr>
          <w:i/>
          <w:iCs/>
          <w:sz w:val="22"/>
          <w:szCs w:val="22"/>
          <w:shd w:val="clear" w:color="auto" w:fill="FFFFFF"/>
          <w:lang w:val="en-US"/>
        </w:rPr>
        <w:t>Encyclopedia of Law and Economics</w:t>
      </w:r>
      <w:r w:rsidR="008353F8" w:rsidRPr="00474548">
        <w:rPr>
          <w:iCs/>
          <w:sz w:val="22"/>
          <w:szCs w:val="22"/>
          <w:shd w:val="clear" w:color="auto" w:fill="FFFFFF"/>
          <w:lang w:val="en-US"/>
        </w:rPr>
        <w:t xml:space="preserve">, Edward Elgar, 2000 p. </w:t>
      </w:r>
    </w:p>
    <w:p w14:paraId="71F55352" w14:textId="24272724" w:rsidR="008353F8" w:rsidRPr="00474548" w:rsidRDefault="00A24B3D" w:rsidP="005D1E75">
      <w:pPr>
        <w:ind w:left="720" w:hanging="720"/>
        <w:jc w:val="both"/>
        <w:rPr>
          <w:sz w:val="22"/>
          <w:szCs w:val="22"/>
          <w:shd w:val="clear" w:color="auto" w:fill="FFFFFF"/>
          <w:lang w:val="en-US"/>
        </w:rPr>
      </w:pPr>
      <w:proofErr w:type="spellStart"/>
      <w:r w:rsidRPr="00474548">
        <w:rPr>
          <w:sz w:val="22"/>
          <w:szCs w:val="22"/>
          <w:shd w:val="clear" w:color="auto" w:fill="FFFFFF"/>
          <w:lang w:val="en-US"/>
        </w:rPr>
        <w:t>Diebolt</w:t>
      </w:r>
      <w:proofErr w:type="spellEnd"/>
      <w:r w:rsidRPr="00474548">
        <w:rPr>
          <w:sz w:val="22"/>
          <w:szCs w:val="22"/>
          <w:shd w:val="clear" w:color="auto" w:fill="FFFFFF"/>
          <w:lang w:val="en-US"/>
        </w:rPr>
        <w:t>, C.</w:t>
      </w:r>
      <w:r w:rsidR="008353F8" w:rsidRPr="00474548">
        <w:rPr>
          <w:sz w:val="22"/>
          <w:szCs w:val="22"/>
          <w:shd w:val="clear" w:color="auto" w:fill="FFFFFF"/>
          <w:lang w:val="en-US"/>
        </w:rPr>
        <w:t xml:space="preserve"> </w:t>
      </w:r>
      <w:r w:rsidRPr="00474548">
        <w:rPr>
          <w:sz w:val="22"/>
          <w:szCs w:val="22"/>
          <w:shd w:val="clear" w:color="auto" w:fill="FFFFFF"/>
          <w:lang w:val="en-US"/>
        </w:rPr>
        <w:t>(</w:t>
      </w:r>
      <w:r w:rsidR="008353F8" w:rsidRPr="00474548">
        <w:rPr>
          <w:sz w:val="22"/>
          <w:szCs w:val="22"/>
          <w:shd w:val="clear" w:color="auto" w:fill="FFFFFF"/>
          <w:lang w:val="en-US"/>
        </w:rPr>
        <w:t>2001</w:t>
      </w:r>
      <w:r w:rsidRPr="00474548">
        <w:rPr>
          <w:sz w:val="22"/>
          <w:szCs w:val="22"/>
          <w:shd w:val="clear" w:color="auto" w:fill="FFFFFF"/>
          <w:lang w:val="en-US"/>
        </w:rPr>
        <w:t>),</w:t>
      </w:r>
      <w:r w:rsidR="008353F8" w:rsidRPr="00474548">
        <w:rPr>
          <w:sz w:val="22"/>
          <w:szCs w:val="22"/>
          <w:shd w:val="clear" w:color="auto" w:fill="FFFFFF"/>
          <w:lang w:val="en-US"/>
        </w:rPr>
        <w:t xml:space="preserve"> </w:t>
      </w:r>
      <w:r w:rsidR="008353F8" w:rsidRPr="00474548">
        <w:rPr>
          <w:i/>
          <w:sz w:val="22"/>
          <w:szCs w:val="22"/>
          <w:shd w:val="clear" w:color="auto" w:fill="FFFFFF"/>
          <w:lang w:val="en-US"/>
        </w:rPr>
        <w:t xml:space="preserve">Education, </w:t>
      </w:r>
      <w:proofErr w:type="spellStart"/>
      <w:r w:rsidR="008353F8" w:rsidRPr="00474548">
        <w:rPr>
          <w:i/>
          <w:sz w:val="22"/>
          <w:szCs w:val="22"/>
          <w:shd w:val="clear" w:color="auto" w:fill="FFFFFF"/>
          <w:lang w:val="en-US"/>
        </w:rPr>
        <w:t>système</w:t>
      </w:r>
      <w:proofErr w:type="spellEnd"/>
      <w:r w:rsidR="008353F8" w:rsidRPr="00474548">
        <w:rPr>
          <w:i/>
          <w:sz w:val="22"/>
          <w:szCs w:val="22"/>
          <w:shd w:val="clear" w:color="auto" w:fill="FFFFFF"/>
          <w:lang w:val="en-US"/>
        </w:rPr>
        <w:t xml:space="preserve"> </w:t>
      </w:r>
      <w:proofErr w:type="gramStart"/>
      <w:r w:rsidR="008353F8" w:rsidRPr="00474548">
        <w:rPr>
          <w:i/>
          <w:sz w:val="22"/>
          <w:szCs w:val="22"/>
          <w:shd w:val="clear" w:color="auto" w:fill="FFFFFF"/>
          <w:lang w:val="en-US"/>
        </w:rPr>
        <w:t>et</w:t>
      </w:r>
      <w:proofErr w:type="gramEnd"/>
      <w:r w:rsidR="008353F8" w:rsidRPr="00474548">
        <w:rPr>
          <w:i/>
          <w:sz w:val="22"/>
          <w:szCs w:val="22"/>
          <w:shd w:val="clear" w:color="auto" w:fill="FFFFFF"/>
          <w:lang w:val="en-US"/>
        </w:rPr>
        <w:t xml:space="preserve"> </w:t>
      </w:r>
      <w:proofErr w:type="spellStart"/>
      <w:r w:rsidR="008353F8" w:rsidRPr="00474548">
        <w:rPr>
          <w:i/>
          <w:sz w:val="22"/>
          <w:szCs w:val="22"/>
          <w:shd w:val="clear" w:color="auto" w:fill="FFFFFF"/>
          <w:lang w:val="en-US"/>
        </w:rPr>
        <w:t>régulation</w:t>
      </w:r>
      <w:proofErr w:type="spellEnd"/>
      <w:r w:rsidR="008353F8" w:rsidRPr="00474548">
        <w:rPr>
          <w:sz w:val="22"/>
          <w:szCs w:val="22"/>
          <w:shd w:val="clear" w:color="auto" w:fill="FFFFFF"/>
          <w:lang w:val="en-US"/>
        </w:rPr>
        <w:t xml:space="preserve">. In: </w:t>
      </w:r>
      <w:proofErr w:type="spellStart"/>
      <w:r w:rsidR="008353F8" w:rsidRPr="00474548">
        <w:rPr>
          <w:sz w:val="22"/>
          <w:szCs w:val="22"/>
          <w:shd w:val="clear" w:color="auto" w:fill="FFFFFF"/>
          <w:lang w:val="en-US"/>
        </w:rPr>
        <w:t>Journees</w:t>
      </w:r>
      <w:proofErr w:type="spellEnd"/>
      <w:r w:rsidR="008353F8" w:rsidRPr="00474548">
        <w:rPr>
          <w:sz w:val="22"/>
          <w:szCs w:val="22"/>
          <w:shd w:val="clear" w:color="auto" w:fill="FFFFFF"/>
          <w:lang w:val="en-US"/>
        </w:rPr>
        <w:t xml:space="preserve"> </w:t>
      </w:r>
      <w:proofErr w:type="spellStart"/>
      <w:r w:rsidR="008353F8" w:rsidRPr="00474548">
        <w:rPr>
          <w:sz w:val="22"/>
          <w:szCs w:val="22"/>
          <w:shd w:val="clear" w:color="auto" w:fill="FFFFFF"/>
          <w:lang w:val="en-US"/>
        </w:rPr>
        <w:t>d'Etudes</w:t>
      </w:r>
      <w:proofErr w:type="spellEnd"/>
      <w:r w:rsidR="008353F8" w:rsidRPr="00474548">
        <w:rPr>
          <w:sz w:val="22"/>
          <w:szCs w:val="22"/>
          <w:shd w:val="clear" w:color="auto" w:fill="FFFFFF"/>
          <w:lang w:val="en-US"/>
        </w:rPr>
        <w:t xml:space="preserve"> la </w:t>
      </w:r>
      <w:r w:rsidR="004E51E0" w:rsidRPr="00474548">
        <w:rPr>
          <w:sz w:val="22"/>
          <w:szCs w:val="22"/>
          <w:shd w:val="clear" w:color="auto" w:fill="FFFFFF"/>
          <w:lang w:val="en-US"/>
        </w:rPr>
        <w:t xml:space="preserve">Regulation du </w:t>
      </w:r>
      <w:proofErr w:type="spellStart"/>
      <w:r w:rsidR="004E51E0" w:rsidRPr="00474548">
        <w:rPr>
          <w:sz w:val="22"/>
          <w:szCs w:val="22"/>
          <w:shd w:val="clear" w:color="auto" w:fill="FFFFFF"/>
          <w:lang w:val="en-US"/>
        </w:rPr>
        <w:t>Systeme</w:t>
      </w:r>
      <w:proofErr w:type="spellEnd"/>
      <w:r w:rsidR="004E51E0" w:rsidRPr="00474548">
        <w:rPr>
          <w:sz w:val="22"/>
          <w:szCs w:val="22"/>
          <w:shd w:val="clear" w:color="auto" w:fill="FFFFFF"/>
          <w:lang w:val="en-US"/>
        </w:rPr>
        <w:t xml:space="preserve"> </w:t>
      </w:r>
      <w:proofErr w:type="spellStart"/>
      <w:r w:rsidR="004E51E0" w:rsidRPr="00474548">
        <w:rPr>
          <w:sz w:val="22"/>
          <w:szCs w:val="22"/>
          <w:shd w:val="clear" w:color="auto" w:fill="FFFFFF"/>
          <w:lang w:val="en-US"/>
        </w:rPr>
        <w:t>Educatif</w:t>
      </w:r>
      <w:proofErr w:type="spellEnd"/>
      <w:r w:rsidR="004E51E0" w:rsidRPr="00474548">
        <w:rPr>
          <w:sz w:val="22"/>
          <w:szCs w:val="22"/>
          <w:shd w:val="clear" w:color="auto" w:fill="FFFFFF"/>
          <w:lang w:val="en-US"/>
        </w:rPr>
        <w:t xml:space="preserve">, </w:t>
      </w:r>
      <w:proofErr w:type="spellStart"/>
      <w:r w:rsidR="008353F8" w:rsidRPr="00474548">
        <w:rPr>
          <w:sz w:val="22"/>
          <w:szCs w:val="22"/>
          <w:shd w:val="clear" w:color="auto" w:fill="FFFFFF"/>
          <w:lang w:val="en-US"/>
        </w:rPr>
        <w:t>Fondation</w:t>
      </w:r>
      <w:proofErr w:type="spellEnd"/>
      <w:r w:rsidR="008353F8" w:rsidRPr="00474548">
        <w:rPr>
          <w:sz w:val="22"/>
          <w:szCs w:val="22"/>
          <w:shd w:val="clear" w:color="auto" w:fill="FFFFFF"/>
          <w:lang w:val="en-US"/>
        </w:rPr>
        <w:t xml:space="preserve"> </w:t>
      </w:r>
      <w:proofErr w:type="spellStart"/>
      <w:r w:rsidR="008353F8" w:rsidRPr="00474548">
        <w:rPr>
          <w:sz w:val="22"/>
          <w:szCs w:val="22"/>
          <w:shd w:val="clear" w:color="auto" w:fill="FFFFFF"/>
          <w:lang w:val="en-US"/>
        </w:rPr>
        <w:t>Nationale</w:t>
      </w:r>
      <w:proofErr w:type="spellEnd"/>
      <w:r w:rsidR="008353F8" w:rsidRPr="00474548">
        <w:rPr>
          <w:sz w:val="22"/>
          <w:szCs w:val="22"/>
          <w:shd w:val="clear" w:color="auto" w:fill="FFFFFF"/>
          <w:lang w:val="en-US"/>
        </w:rPr>
        <w:t xml:space="preserve"> des Sciences </w:t>
      </w:r>
      <w:proofErr w:type="spellStart"/>
      <w:r w:rsidR="008353F8" w:rsidRPr="00474548">
        <w:rPr>
          <w:sz w:val="22"/>
          <w:szCs w:val="22"/>
          <w:shd w:val="clear" w:color="auto" w:fill="FFFFFF"/>
          <w:lang w:val="en-US"/>
        </w:rPr>
        <w:t>Politiques</w:t>
      </w:r>
      <w:proofErr w:type="spellEnd"/>
      <w:r w:rsidR="008353F8" w:rsidRPr="00474548">
        <w:rPr>
          <w:sz w:val="22"/>
          <w:szCs w:val="22"/>
          <w:shd w:val="clear" w:color="auto" w:fill="FFFFFF"/>
          <w:lang w:val="en-US"/>
        </w:rPr>
        <w:t xml:space="preserve">, Paris. </w:t>
      </w:r>
    </w:p>
    <w:p w14:paraId="6B8A7197" w14:textId="2B11E651" w:rsidR="008353F8" w:rsidRPr="00474548" w:rsidRDefault="008353F8" w:rsidP="005D1E75">
      <w:pPr>
        <w:ind w:left="720" w:hanging="720"/>
        <w:jc w:val="both"/>
        <w:rPr>
          <w:rFonts w:eastAsia="Times New Roman"/>
          <w:kern w:val="0"/>
          <w:sz w:val="22"/>
          <w:szCs w:val="22"/>
          <w:lang w:val="en-US"/>
        </w:rPr>
      </w:pPr>
      <w:proofErr w:type="spellStart"/>
      <w:r w:rsidRPr="00474548">
        <w:rPr>
          <w:rFonts w:eastAsia="Times New Roman"/>
          <w:kern w:val="0"/>
          <w:sz w:val="22"/>
          <w:szCs w:val="22"/>
          <w:lang w:val="en-US"/>
        </w:rPr>
        <w:t>Ergas</w:t>
      </w:r>
      <w:proofErr w:type="spellEnd"/>
      <w:r w:rsidRPr="00474548">
        <w:rPr>
          <w:rFonts w:eastAsia="Times New Roman"/>
          <w:kern w:val="0"/>
          <w:sz w:val="22"/>
          <w:szCs w:val="22"/>
          <w:lang w:val="en-US"/>
        </w:rPr>
        <w:t>, H., Hor</w:t>
      </w:r>
      <w:r w:rsidR="00A24B3D" w:rsidRPr="00474548">
        <w:rPr>
          <w:rFonts w:eastAsia="Times New Roman"/>
          <w:kern w:val="0"/>
          <w:sz w:val="22"/>
          <w:szCs w:val="22"/>
          <w:lang w:val="en-US"/>
        </w:rPr>
        <w:t>nby, J., Little, I., Small, J. (</w:t>
      </w:r>
      <w:r w:rsidRPr="00474548">
        <w:rPr>
          <w:rFonts w:eastAsia="Times New Roman"/>
          <w:kern w:val="0"/>
          <w:sz w:val="22"/>
          <w:szCs w:val="22"/>
          <w:lang w:val="en-US"/>
        </w:rPr>
        <w:t>2001</w:t>
      </w:r>
      <w:r w:rsidR="00A24B3D" w:rsidRPr="00474548">
        <w:rPr>
          <w:rFonts w:eastAsia="Times New Roman"/>
          <w:kern w:val="0"/>
          <w:sz w:val="22"/>
          <w:szCs w:val="22"/>
          <w:lang w:val="en-US"/>
        </w:rPr>
        <w:t>),</w:t>
      </w:r>
      <w:r w:rsidRPr="00474548">
        <w:rPr>
          <w:rFonts w:eastAsia="Times New Roman"/>
          <w:kern w:val="0"/>
          <w:sz w:val="22"/>
          <w:szCs w:val="22"/>
          <w:lang w:val="en-US"/>
        </w:rPr>
        <w:t xml:space="preserve"> </w:t>
      </w:r>
      <w:r w:rsidRPr="00474548">
        <w:rPr>
          <w:rFonts w:eastAsia="Times New Roman"/>
          <w:bCs/>
          <w:kern w:val="0"/>
          <w:sz w:val="22"/>
          <w:szCs w:val="22"/>
          <w:lang w:val="en-US"/>
        </w:rPr>
        <w:t xml:space="preserve">Regulatory Risk. </w:t>
      </w:r>
      <w:r w:rsidRPr="00474548">
        <w:rPr>
          <w:rFonts w:eastAsia="Times New Roman"/>
          <w:i/>
          <w:kern w:val="0"/>
          <w:sz w:val="22"/>
          <w:szCs w:val="22"/>
          <w:lang w:val="en-US"/>
        </w:rPr>
        <w:t>ACCC Regulation and Investment Conference</w:t>
      </w:r>
      <w:r w:rsidRPr="00474548">
        <w:rPr>
          <w:rFonts w:eastAsia="Times New Roman"/>
          <w:kern w:val="0"/>
          <w:sz w:val="22"/>
          <w:szCs w:val="22"/>
          <w:lang w:val="en-US"/>
        </w:rPr>
        <w:t>, Manly.</w:t>
      </w:r>
    </w:p>
    <w:p w14:paraId="393490FD" w14:textId="08EC354A" w:rsidR="008353F8" w:rsidRPr="00474548" w:rsidRDefault="00A24B3D" w:rsidP="005D1E75">
      <w:pPr>
        <w:ind w:left="720" w:hanging="720"/>
        <w:jc w:val="both"/>
        <w:rPr>
          <w:rFonts w:eastAsia="Times New Roman"/>
          <w:kern w:val="0"/>
          <w:sz w:val="22"/>
          <w:szCs w:val="22"/>
          <w:lang w:val="en-US"/>
        </w:rPr>
      </w:pPr>
      <w:proofErr w:type="spellStart"/>
      <w:r w:rsidRPr="00474548">
        <w:rPr>
          <w:rFonts w:eastAsia="Times New Roman"/>
          <w:kern w:val="0"/>
          <w:sz w:val="22"/>
          <w:szCs w:val="22"/>
          <w:lang w:val="en-US"/>
        </w:rPr>
        <w:t>Fama</w:t>
      </w:r>
      <w:proofErr w:type="spellEnd"/>
      <w:r w:rsidRPr="00474548">
        <w:rPr>
          <w:rFonts w:eastAsia="Times New Roman"/>
          <w:kern w:val="0"/>
          <w:sz w:val="22"/>
          <w:szCs w:val="22"/>
          <w:lang w:val="en-US"/>
        </w:rPr>
        <w:t>, E.F. (</w:t>
      </w:r>
      <w:r w:rsidR="008353F8" w:rsidRPr="00474548">
        <w:rPr>
          <w:rFonts w:eastAsia="Times New Roman"/>
          <w:kern w:val="0"/>
          <w:sz w:val="22"/>
          <w:szCs w:val="22"/>
          <w:lang w:val="en-US"/>
        </w:rPr>
        <w:t>1968</w:t>
      </w:r>
      <w:r w:rsidRPr="00474548">
        <w:rPr>
          <w:rFonts w:eastAsia="Times New Roman"/>
          <w:kern w:val="0"/>
          <w:sz w:val="22"/>
          <w:szCs w:val="22"/>
          <w:lang w:val="en-US"/>
        </w:rPr>
        <w:t>),</w:t>
      </w:r>
      <w:r w:rsidR="008353F8" w:rsidRPr="00474548">
        <w:rPr>
          <w:rFonts w:eastAsia="Times New Roman"/>
          <w:kern w:val="0"/>
          <w:sz w:val="22"/>
          <w:szCs w:val="22"/>
          <w:lang w:val="en-US"/>
        </w:rPr>
        <w:t xml:space="preserve"> </w:t>
      </w:r>
      <w:r w:rsidR="008353F8" w:rsidRPr="00474548">
        <w:rPr>
          <w:rFonts w:eastAsia="Times New Roman"/>
          <w:i/>
          <w:kern w:val="0"/>
          <w:sz w:val="22"/>
          <w:szCs w:val="22"/>
          <w:lang w:val="en-US"/>
        </w:rPr>
        <w:t>Risk, Return and Equilibri</w:t>
      </w:r>
      <w:r w:rsidR="004E51E0" w:rsidRPr="00474548">
        <w:rPr>
          <w:rFonts w:eastAsia="Times New Roman"/>
          <w:i/>
          <w:kern w:val="0"/>
          <w:sz w:val="22"/>
          <w:szCs w:val="22"/>
          <w:lang w:val="en-US"/>
        </w:rPr>
        <w:t xml:space="preserve">um: Some Clarifying Comments, </w:t>
      </w:r>
      <w:r w:rsidR="008353F8" w:rsidRPr="00474548">
        <w:rPr>
          <w:rFonts w:eastAsia="Times New Roman"/>
          <w:kern w:val="0"/>
          <w:sz w:val="22"/>
          <w:szCs w:val="22"/>
          <w:lang w:val="en-US"/>
        </w:rPr>
        <w:t>The J</w:t>
      </w:r>
      <w:r w:rsidRPr="00474548">
        <w:rPr>
          <w:rFonts w:eastAsia="Times New Roman"/>
          <w:kern w:val="0"/>
          <w:sz w:val="22"/>
          <w:szCs w:val="22"/>
          <w:lang w:val="en-US"/>
        </w:rPr>
        <w:t>ournal of Finance, Cambridge. 2</w:t>
      </w:r>
      <w:r w:rsidR="008353F8" w:rsidRPr="00474548">
        <w:rPr>
          <w:rFonts w:eastAsia="Times New Roman"/>
          <w:kern w:val="0"/>
          <w:sz w:val="22"/>
          <w:szCs w:val="22"/>
          <w:lang w:val="en-US"/>
        </w:rPr>
        <w:t>(1) 29-40.</w:t>
      </w:r>
    </w:p>
    <w:p w14:paraId="2A2DABF2" w14:textId="341E37E4" w:rsidR="008353F8" w:rsidRPr="00474548" w:rsidRDefault="00A24B3D" w:rsidP="005D1E75">
      <w:pPr>
        <w:ind w:left="720" w:hanging="720"/>
        <w:jc w:val="both"/>
        <w:rPr>
          <w:color w:val="000000"/>
          <w:sz w:val="22"/>
          <w:szCs w:val="22"/>
          <w:shd w:val="clear" w:color="auto" w:fill="FFFFFF"/>
          <w:lang w:val="en-US"/>
        </w:rPr>
      </w:pPr>
      <w:proofErr w:type="spellStart"/>
      <w:r w:rsidRPr="00474548">
        <w:rPr>
          <w:rFonts w:eastAsia="Times New Roman"/>
          <w:kern w:val="0"/>
          <w:sz w:val="22"/>
          <w:szCs w:val="22"/>
          <w:lang w:val="en-US"/>
        </w:rPr>
        <w:t>Fiani</w:t>
      </w:r>
      <w:proofErr w:type="spellEnd"/>
      <w:r w:rsidRPr="00474548">
        <w:rPr>
          <w:rFonts w:eastAsia="Times New Roman"/>
          <w:kern w:val="0"/>
          <w:sz w:val="22"/>
          <w:szCs w:val="22"/>
          <w:lang w:val="en-US"/>
        </w:rPr>
        <w:t>, R. (1998),</w:t>
      </w:r>
      <w:r w:rsidR="008353F8" w:rsidRPr="00474548">
        <w:rPr>
          <w:rFonts w:eastAsia="Times New Roman"/>
          <w:kern w:val="0"/>
          <w:sz w:val="22"/>
          <w:szCs w:val="22"/>
          <w:lang w:val="en-US"/>
        </w:rPr>
        <w:t xml:space="preserve"> </w:t>
      </w:r>
      <w:proofErr w:type="spellStart"/>
      <w:r w:rsidR="008353F8" w:rsidRPr="00474548">
        <w:rPr>
          <w:rFonts w:eastAsia="Times New Roman"/>
          <w:i/>
          <w:kern w:val="0"/>
          <w:sz w:val="22"/>
          <w:szCs w:val="22"/>
          <w:lang w:val="en-US"/>
        </w:rPr>
        <w:t>Teoria</w:t>
      </w:r>
      <w:proofErr w:type="spellEnd"/>
      <w:r w:rsidR="008353F8" w:rsidRPr="00474548">
        <w:rPr>
          <w:rFonts w:eastAsia="Times New Roman"/>
          <w:i/>
          <w:kern w:val="0"/>
          <w:sz w:val="22"/>
          <w:szCs w:val="22"/>
          <w:lang w:val="en-US"/>
        </w:rPr>
        <w:t xml:space="preserve"> da </w:t>
      </w:r>
      <w:proofErr w:type="spellStart"/>
      <w:r w:rsidR="008353F8" w:rsidRPr="00474548">
        <w:rPr>
          <w:rFonts w:eastAsia="Times New Roman"/>
          <w:i/>
          <w:kern w:val="0"/>
          <w:sz w:val="22"/>
          <w:szCs w:val="22"/>
          <w:lang w:val="en-US"/>
        </w:rPr>
        <w:t>Regulação</w:t>
      </w:r>
      <w:proofErr w:type="spellEnd"/>
      <w:r w:rsidR="008353F8" w:rsidRPr="00474548">
        <w:rPr>
          <w:rFonts w:eastAsia="Times New Roman"/>
          <w:i/>
          <w:kern w:val="0"/>
          <w:sz w:val="22"/>
          <w:szCs w:val="22"/>
          <w:lang w:val="en-US"/>
        </w:rPr>
        <w:t xml:space="preserve"> </w:t>
      </w:r>
      <w:proofErr w:type="spellStart"/>
      <w:r w:rsidR="008353F8" w:rsidRPr="00474548">
        <w:rPr>
          <w:rFonts w:eastAsia="Times New Roman"/>
          <w:i/>
          <w:kern w:val="0"/>
          <w:sz w:val="22"/>
          <w:szCs w:val="22"/>
          <w:lang w:val="en-US"/>
        </w:rPr>
        <w:t>Econômica</w:t>
      </w:r>
      <w:proofErr w:type="spellEnd"/>
      <w:r w:rsidR="008353F8" w:rsidRPr="00474548">
        <w:rPr>
          <w:rFonts w:eastAsia="Times New Roman"/>
          <w:i/>
          <w:kern w:val="0"/>
          <w:sz w:val="22"/>
          <w:szCs w:val="22"/>
          <w:lang w:val="en-US"/>
        </w:rPr>
        <w:t xml:space="preserve">: Estado </w:t>
      </w:r>
      <w:proofErr w:type="spellStart"/>
      <w:r w:rsidR="008353F8" w:rsidRPr="00474548">
        <w:rPr>
          <w:rFonts w:eastAsia="Times New Roman"/>
          <w:i/>
          <w:kern w:val="0"/>
          <w:sz w:val="22"/>
          <w:szCs w:val="22"/>
          <w:lang w:val="en-US"/>
        </w:rPr>
        <w:t>Atual</w:t>
      </w:r>
      <w:proofErr w:type="spellEnd"/>
      <w:r w:rsidR="008353F8" w:rsidRPr="00474548">
        <w:rPr>
          <w:rFonts w:eastAsia="Times New Roman"/>
          <w:i/>
          <w:kern w:val="0"/>
          <w:sz w:val="22"/>
          <w:szCs w:val="22"/>
          <w:lang w:val="en-US"/>
        </w:rPr>
        <w:t xml:space="preserve"> e </w:t>
      </w:r>
      <w:proofErr w:type="spellStart"/>
      <w:r w:rsidR="008353F8" w:rsidRPr="00474548">
        <w:rPr>
          <w:rFonts w:eastAsia="Times New Roman"/>
          <w:i/>
          <w:kern w:val="0"/>
          <w:sz w:val="22"/>
          <w:szCs w:val="22"/>
          <w:lang w:val="en-US"/>
        </w:rPr>
        <w:t>Perspectivas</w:t>
      </w:r>
      <w:proofErr w:type="spellEnd"/>
      <w:r w:rsidR="008353F8" w:rsidRPr="00474548">
        <w:rPr>
          <w:rFonts w:eastAsia="Times New Roman"/>
          <w:i/>
          <w:kern w:val="0"/>
          <w:sz w:val="22"/>
          <w:szCs w:val="22"/>
          <w:lang w:val="en-US"/>
        </w:rPr>
        <w:t xml:space="preserve"> </w:t>
      </w:r>
      <w:proofErr w:type="spellStart"/>
      <w:r w:rsidR="008353F8" w:rsidRPr="00474548">
        <w:rPr>
          <w:rFonts w:eastAsia="Times New Roman"/>
          <w:i/>
          <w:kern w:val="0"/>
          <w:sz w:val="22"/>
          <w:szCs w:val="22"/>
          <w:lang w:val="en-US"/>
        </w:rPr>
        <w:t>Futuras</w:t>
      </w:r>
      <w:proofErr w:type="spellEnd"/>
      <w:r w:rsidR="004E51E0" w:rsidRPr="00474548">
        <w:rPr>
          <w:rFonts w:eastAsia="Times New Roman"/>
          <w:kern w:val="0"/>
          <w:sz w:val="22"/>
          <w:szCs w:val="22"/>
          <w:lang w:val="en-US"/>
        </w:rPr>
        <w:t xml:space="preserve">, </w:t>
      </w:r>
      <w:proofErr w:type="spellStart"/>
      <w:r w:rsidR="008353F8" w:rsidRPr="00474548">
        <w:rPr>
          <w:color w:val="000000"/>
          <w:sz w:val="22"/>
          <w:szCs w:val="22"/>
          <w:shd w:val="clear" w:color="auto" w:fill="FFFFFF"/>
          <w:lang w:val="en-US"/>
        </w:rPr>
        <w:t>Instituto</w:t>
      </w:r>
      <w:proofErr w:type="spellEnd"/>
      <w:r w:rsidR="008353F8" w:rsidRPr="00474548">
        <w:rPr>
          <w:color w:val="000000"/>
          <w:sz w:val="22"/>
          <w:szCs w:val="22"/>
          <w:shd w:val="clear" w:color="auto" w:fill="FFFFFF"/>
          <w:lang w:val="en-US"/>
        </w:rPr>
        <w:t xml:space="preserve"> de </w:t>
      </w:r>
      <w:proofErr w:type="spellStart"/>
      <w:r w:rsidR="008353F8" w:rsidRPr="00474548">
        <w:rPr>
          <w:color w:val="000000"/>
          <w:sz w:val="22"/>
          <w:szCs w:val="22"/>
          <w:shd w:val="clear" w:color="auto" w:fill="FFFFFF"/>
          <w:lang w:val="en-US"/>
        </w:rPr>
        <w:t>Economia</w:t>
      </w:r>
      <w:proofErr w:type="spellEnd"/>
      <w:r w:rsidR="008353F8" w:rsidRPr="00474548">
        <w:rPr>
          <w:color w:val="000000"/>
          <w:sz w:val="22"/>
          <w:szCs w:val="22"/>
          <w:shd w:val="clear" w:color="auto" w:fill="FFFFFF"/>
          <w:lang w:val="en-US"/>
        </w:rPr>
        <w:t xml:space="preserve">/UFRJ, </w:t>
      </w:r>
      <w:proofErr w:type="spellStart"/>
      <w:r w:rsidR="008353F8" w:rsidRPr="00474548">
        <w:rPr>
          <w:iCs/>
          <w:color w:val="000000"/>
          <w:sz w:val="22"/>
          <w:szCs w:val="22"/>
          <w:lang w:val="en-US"/>
        </w:rPr>
        <w:t>Textos</w:t>
      </w:r>
      <w:proofErr w:type="spellEnd"/>
      <w:r w:rsidR="008353F8" w:rsidRPr="00474548">
        <w:rPr>
          <w:iCs/>
          <w:color w:val="000000"/>
          <w:sz w:val="22"/>
          <w:szCs w:val="22"/>
          <w:lang w:val="en-US"/>
        </w:rPr>
        <w:t xml:space="preserve"> </w:t>
      </w:r>
      <w:proofErr w:type="spellStart"/>
      <w:r w:rsidR="008353F8" w:rsidRPr="00474548">
        <w:rPr>
          <w:iCs/>
          <w:color w:val="000000"/>
          <w:sz w:val="22"/>
          <w:szCs w:val="22"/>
          <w:lang w:val="en-US"/>
        </w:rPr>
        <w:t>para</w:t>
      </w:r>
      <w:proofErr w:type="spellEnd"/>
      <w:r w:rsidR="008353F8" w:rsidRPr="00474548">
        <w:rPr>
          <w:iCs/>
          <w:color w:val="000000"/>
          <w:sz w:val="22"/>
          <w:szCs w:val="22"/>
          <w:lang w:val="en-US"/>
        </w:rPr>
        <w:t xml:space="preserve"> </w:t>
      </w:r>
      <w:proofErr w:type="spellStart"/>
      <w:r w:rsidR="008353F8" w:rsidRPr="00474548">
        <w:rPr>
          <w:iCs/>
          <w:color w:val="000000"/>
          <w:sz w:val="22"/>
          <w:szCs w:val="22"/>
          <w:lang w:val="en-US"/>
        </w:rPr>
        <w:t>discussão</w:t>
      </w:r>
      <w:proofErr w:type="spellEnd"/>
      <w:r w:rsidR="008353F8" w:rsidRPr="00474548">
        <w:rPr>
          <w:color w:val="000000"/>
          <w:sz w:val="22"/>
          <w:szCs w:val="22"/>
          <w:shd w:val="clear" w:color="auto" w:fill="FFFFFF"/>
          <w:lang w:val="en-US"/>
        </w:rPr>
        <w:t>, n. 423.</w:t>
      </w:r>
    </w:p>
    <w:p w14:paraId="2F4456FA" w14:textId="3786478C" w:rsidR="008353F8" w:rsidRPr="00474548" w:rsidRDefault="00A24B3D" w:rsidP="005D1E75">
      <w:pPr>
        <w:ind w:left="720" w:hanging="720"/>
        <w:jc w:val="both"/>
        <w:rPr>
          <w:rFonts w:eastAsiaTheme="minorEastAsia"/>
          <w:color w:val="000000" w:themeColor="text1"/>
          <w:kern w:val="0"/>
          <w:sz w:val="22"/>
          <w:szCs w:val="22"/>
          <w:lang w:val="en-US" w:eastAsia="en-US"/>
        </w:rPr>
      </w:pPr>
      <w:proofErr w:type="spellStart"/>
      <w:r w:rsidRPr="00474548">
        <w:rPr>
          <w:rFonts w:eastAsiaTheme="minorEastAsia"/>
          <w:bCs/>
          <w:color w:val="000000" w:themeColor="text1"/>
          <w:kern w:val="0"/>
          <w:sz w:val="22"/>
          <w:szCs w:val="22"/>
          <w:lang w:val="en-US" w:eastAsia="en-US"/>
        </w:rPr>
        <w:t>Fugimoto</w:t>
      </w:r>
      <w:proofErr w:type="spellEnd"/>
      <w:r w:rsidRPr="00474548">
        <w:rPr>
          <w:rFonts w:eastAsiaTheme="minorEastAsia"/>
          <w:bCs/>
          <w:color w:val="000000" w:themeColor="text1"/>
          <w:kern w:val="0"/>
          <w:sz w:val="22"/>
          <w:szCs w:val="22"/>
          <w:lang w:val="en-US" w:eastAsia="en-US"/>
        </w:rPr>
        <w:t>, S.</w:t>
      </w:r>
      <w:r w:rsidR="008353F8" w:rsidRPr="00474548">
        <w:rPr>
          <w:rFonts w:eastAsiaTheme="minorEastAsia"/>
          <w:bCs/>
          <w:color w:val="000000" w:themeColor="text1"/>
          <w:kern w:val="0"/>
          <w:sz w:val="22"/>
          <w:szCs w:val="22"/>
          <w:lang w:val="en-US" w:eastAsia="en-US"/>
        </w:rPr>
        <w:t>K.</w:t>
      </w:r>
      <w:r w:rsidRPr="00474548">
        <w:rPr>
          <w:rFonts w:eastAsiaTheme="minorEastAsia"/>
          <w:color w:val="000000" w:themeColor="text1"/>
          <w:kern w:val="0"/>
          <w:sz w:val="22"/>
          <w:szCs w:val="22"/>
          <w:lang w:val="en-US" w:eastAsia="en-US"/>
        </w:rPr>
        <w:t xml:space="preserve">, </w:t>
      </w:r>
      <w:proofErr w:type="spellStart"/>
      <w:r w:rsidRPr="00474548">
        <w:rPr>
          <w:rFonts w:eastAsiaTheme="minorEastAsia"/>
          <w:color w:val="000000" w:themeColor="text1"/>
          <w:kern w:val="0"/>
          <w:sz w:val="22"/>
          <w:szCs w:val="22"/>
          <w:lang w:val="en-US" w:eastAsia="en-US"/>
        </w:rPr>
        <w:t>Tahan</w:t>
      </w:r>
      <w:proofErr w:type="spellEnd"/>
      <w:r w:rsidRPr="00474548">
        <w:rPr>
          <w:rFonts w:eastAsiaTheme="minorEastAsia"/>
          <w:color w:val="000000" w:themeColor="text1"/>
          <w:kern w:val="0"/>
          <w:sz w:val="22"/>
          <w:szCs w:val="22"/>
          <w:lang w:val="en-US" w:eastAsia="en-US"/>
        </w:rPr>
        <w:t>, C.M.V. (</w:t>
      </w:r>
      <w:r w:rsidR="008353F8" w:rsidRPr="00474548">
        <w:rPr>
          <w:rFonts w:eastAsiaTheme="minorEastAsia"/>
          <w:color w:val="000000" w:themeColor="text1"/>
          <w:kern w:val="0"/>
          <w:sz w:val="22"/>
          <w:szCs w:val="22"/>
          <w:lang w:val="en-US" w:eastAsia="en-US"/>
        </w:rPr>
        <w:t>2009</w:t>
      </w:r>
      <w:r w:rsidRPr="00474548">
        <w:rPr>
          <w:rFonts w:eastAsiaTheme="minorEastAsia"/>
          <w:color w:val="000000" w:themeColor="text1"/>
          <w:kern w:val="0"/>
          <w:sz w:val="22"/>
          <w:szCs w:val="22"/>
          <w:lang w:val="en-US" w:eastAsia="en-US"/>
        </w:rPr>
        <w:t>),</w:t>
      </w:r>
      <w:r w:rsidR="008353F8" w:rsidRPr="00474548">
        <w:rPr>
          <w:rFonts w:eastAsiaTheme="minorEastAsia"/>
          <w:color w:val="000000" w:themeColor="text1"/>
          <w:kern w:val="0"/>
          <w:sz w:val="22"/>
          <w:szCs w:val="22"/>
          <w:lang w:val="en-US" w:eastAsia="en-US"/>
        </w:rPr>
        <w:t xml:space="preserve"> </w:t>
      </w:r>
      <w:r w:rsidR="008353F8" w:rsidRPr="00474548">
        <w:rPr>
          <w:rFonts w:eastAsiaTheme="minorEastAsia"/>
          <w:i/>
          <w:color w:val="000000" w:themeColor="text1"/>
          <w:kern w:val="0"/>
          <w:sz w:val="22"/>
          <w:szCs w:val="22"/>
          <w:lang w:val="en-US" w:eastAsia="en-US"/>
        </w:rPr>
        <w:t>The structure of electric energy distribution tariffs in Brazil</w:t>
      </w:r>
      <w:r w:rsidR="004E51E0" w:rsidRPr="00474548">
        <w:rPr>
          <w:rFonts w:eastAsiaTheme="minorEastAsia"/>
          <w:color w:val="000000" w:themeColor="text1"/>
          <w:kern w:val="0"/>
          <w:sz w:val="22"/>
          <w:szCs w:val="22"/>
          <w:lang w:val="en-US" w:eastAsia="en-US"/>
        </w:rPr>
        <w:t xml:space="preserve">, </w:t>
      </w:r>
      <w:r w:rsidR="008353F8" w:rsidRPr="00474548">
        <w:rPr>
          <w:rFonts w:eastAsiaTheme="minorEastAsia"/>
          <w:color w:val="000000" w:themeColor="text1"/>
          <w:kern w:val="0"/>
          <w:sz w:val="22"/>
          <w:szCs w:val="22"/>
          <w:lang w:val="en-US" w:eastAsia="en-US"/>
        </w:rPr>
        <w:t>In: 20th International Conference on Electricity Distribution, 2009, Prague. 20th International Conference on Electricity Distribution, IEEE.</w:t>
      </w:r>
    </w:p>
    <w:p w14:paraId="494A1BF5" w14:textId="69E532B0" w:rsidR="005D1E75" w:rsidRPr="00474548" w:rsidRDefault="005D1E75" w:rsidP="005D1E75">
      <w:pPr>
        <w:ind w:left="720" w:hanging="720"/>
        <w:jc w:val="both"/>
        <w:rPr>
          <w:rFonts w:eastAsiaTheme="minorEastAsia"/>
          <w:color w:val="000000" w:themeColor="text1"/>
          <w:kern w:val="0"/>
          <w:sz w:val="22"/>
          <w:szCs w:val="22"/>
          <w:lang w:val="en-US" w:eastAsia="en-US"/>
        </w:rPr>
      </w:pPr>
      <w:r w:rsidRPr="00474548">
        <w:rPr>
          <w:rFonts w:eastAsiaTheme="minorEastAsia"/>
          <w:kern w:val="0"/>
          <w:sz w:val="22"/>
          <w:szCs w:val="22"/>
          <w:lang w:val="en-US" w:bidi="ar-SA"/>
        </w:rPr>
        <w:t xml:space="preserve">Fullerton, T.M., Méndez-Carrillo, E.C. </w:t>
      </w:r>
      <w:proofErr w:type="spellStart"/>
      <w:r w:rsidRPr="00474548">
        <w:rPr>
          <w:rFonts w:eastAsiaTheme="minorEastAsia"/>
          <w:kern w:val="0"/>
          <w:sz w:val="22"/>
          <w:szCs w:val="22"/>
          <w:lang w:val="en-US" w:bidi="ar-SA"/>
        </w:rPr>
        <w:t>Walke</w:t>
      </w:r>
      <w:proofErr w:type="spellEnd"/>
      <w:r w:rsidRPr="00474548">
        <w:rPr>
          <w:rFonts w:eastAsiaTheme="minorEastAsia"/>
          <w:kern w:val="0"/>
          <w:sz w:val="22"/>
          <w:szCs w:val="22"/>
          <w:lang w:val="en-US" w:bidi="ar-SA"/>
        </w:rPr>
        <w:t xml:space="preserve">, A.G. (2014), </w:t>
      </w:r>
      <w:r w:rsidRPr="00474548">
        <w:rPr>
          <w:rFonts w:eastAsiaTheme="minorEastAsia"/>
          <w:i/>
          <w:kern w:val="0"/>
          <w:sz w:val="22"/>
          <w:szCs w:val="22"/>
          <w:lang w:val="en-US" w:bidi="ar-SA"/>
        </w:rPr>
        <w:t>Electricity Demand in a Northern Mexico Metropolitan Economy</w:t>
      </w:r>
      <w:r w:rsidRPr="00474548">
        <w:rPr>
          <w:rFonts w:eastAsiaTheme="minorEastAsia"/>
          <w:kern w:val="0"/>
          <w:sz w:val="22"/>
          <w:szCs w:val="22"/>
          <w:lang w:val="en-US" w:bidi="ar-SA"/>
        </w:rPr>
        <w:t>, International Journal of</w:t>
      </w:r>
      <w:r w:rsidR="00A24B3D" w:rsidRPr="00474548">
        <w:rPr>
          <w:rFonts w:eastAsiaTheme="minorEastAsia"/>
          <w:kern w:val="0"/>
          <w:sz w:val="22"/>
          <w:szCs w:val="22"/>
          <w:lang w:val="en-US" w:bidi="ar-SA"/>
        </w:rPr>
        <w:t xml:space="preserve"> Energy Economics and Policy, 4</w:t>
      </w:r>
      <w:r w:rsidRPr="00474548">
        <w:rPr>
          <w:rFonts w:eastAsiaTheme="minorEastAsia"/>
          <w:kern w:val="0"/>
          <w:sz w:val="22"/>
          <w:szCs w:val="22"/>
          <w:lang w:val="en-US" w:bidi="ar-SA"/>
        </w:rPr>
        <w:t xml:space="preserve">(4), 495-505 </w:t>
      </w:r>
    </w:p>
    <w:p w14:paraId="2E223EB0" w14:textId="4E00C484" w:rsidR="008353F8" w:rsidRPr="00474548" w:rsidRDefault="00A24B3D" w:rsidP="005D1E75">
      <w:pPr>
        <w:suppressAutoHyphens w:val="0"/>
        <w:autoSpaceDE w:val="0"/>
        <w:autoSpaceDN w:val="0"/>
        <w:adjustRightInd w:val="0"/>
        <w:ind w:left="720" w:hanging="720"/>
        <w:jc w:val="both"/>
        <w:rPr>
          <w:rFonts w:eastAsiaTheme="minorEastAsia"/>
          <w:color w:val="000000"/>
          <w:kern w:val="0"/>
          <w:sz w:val="22"/>
          <w:szCs w:val="22"/>
          <w:lang w:val="en-US" w:eastAsia="en-US"/>
        </w:rPr>
      </w:pPr>
      <w:proofErr w:type="spellStart"/>
      <w:r w:rsidRPr="00474548">
        <w:rPr>
          <w:rFonts w:eastAsiaTheme="minorEastAsia"/>
          <w:color w:val="000000"/>
          <w:kern w:val="0"/>
          <w:sz w:val="22"/>
          <w:szCs w:val="22"/>
          <w:lang w:val="en-US" w:eastAsia="en-US"/>
        </w:rPr>
        <w:t>Ghossoub</w:t>
      </w:r>
      <w:proofErr w:type="spellEnd"/>
      <w:r w:rsidRPr="00474548">
        <w:rPr>
          <w:rFonts w:eastAsiaTheme="minorEastAsia"/>
          <w:color w:val="000000"/>
          <w:kern w:val="0"/>
          <w:sz w:val="22"/>
          <w:szCs w:val="22"/>
          <w:lang w:val="en-US" w:eastAsia="en-US"/>
        </w:rPr>
        <w:t>, E., Reed, R.</w:t>
      </w:r>
      <w:r w:rsidR="008353F8" w:rsidRPr="00474548">
        <w:rPr>
          <w:rFonts w:eastAsiaTheme="minorEastAsia"/>
          <w:color w:val="000000"/>
          <w:kern w:val="0"/>
          <w:sz w:val="22"/>
          <w:szCs w:val="22"/>
          <w:lang w:val="en-US" w:eastAsia="en-US"/>
        </w:rPr>
        <w:t xml:space="preserve">R., 2014. </w:t>
      </w:r>
      <w:r w:rsidR="008353F8" w:rsidRPr="00474548">
        <w:rPr>
          <w:rFonts w:eastAsiaTheme="minorEastAsia"/>
          <w:i/>
          <w:color w:val="000000"/>
          <w:kern w:val="0"/>
          <w:sz w:val="22"/>
          <w:szCs w:val="22"/>
          <w:lang w:val="en-US" w:eastAsia="en-US"/>
        </w:rPr>
        <w:t>The cost of capital, asset prices, and the effects of monetary policy</w:t>
      </w:r>
      <w:r w:rsidR="008353F8" w:rsidRPr="00474548">
        <w:rPr>
          <w:rFonts w:eastAsiaTheme="minorEastAsia"/>
          <w:color w:val="000000"/>
          <w:kern w:val="0"/>
          <w:sz w:val="22"/>
          <w:szCs w:val="22"/>
          <w:lang w:val="en-US" w:eastAsia="en-US"/>
        </w:rPr>
        <w:t xml:space="preserve">, </w:t>
      </w:r>
      <w:r w:rsidR="008353F8" w:rsidRPr="00474548">
        <w:rPr>
          <w:rFonts w:eastAsiaTheme="minorEastAsia"/>
          <w:kern w:val="0"/>
          <w:sz w:val="22"/>
          <w:szCs w:val="22"/>
          <w:lang w:val="en-US" w:eastAsia="en-US"/>
        </w:rPr>
        <w:t>Journal</w:t>
      </w:r>
      <w:r w:rsidRPr="00474548">
        <w:rPr>
          <w:rFonts w:eastAsiaTheme="minorEastAsia"/>
          <w:kern w:val="0"/>
          <w:sz w:val="22"/>
          <w:szCs w:val="22"/>
          <w:lang w:val="en-US" w:eastAsia="en-US"/>
        </w:rPr>
        <w:t xml:space="preserve"> of Macroeconomics, </w:t>
      </w:r>
      <w:r w:rsidR="008353F8" w:rsidRPr="00474548">
        <w:rPr>
          <w:rFonts w:eastAsiaTheme="minorEastAsia"/>
          <w:kern w:val="0"/>
          <w:sz w:val="22"/>
          <w:szCs w:val="22"/>
          <w:lang w:val="en-US" w:eastAsia="en-US"/>
        </w:rPr>
        <w:t>42, 211-248.</w:t>
      </w:r>
    </w:p>
    <w:p w14:paraId="0D8906F8" w14:textId="534C4052" w:rsidR="008353F8" w:rsidRPr="00474548" w:rsidRDefault="00A24B3D" w:rsidP="005D1E75">
      <w:pPr>
        <w:ind w:left="720" w:hanging="720"/>
        <w:jc w:val="both"/>
        <w:rPr>
          <w:sz w:val="22"/>
          <w:szCs w:val="22"/>
          <w:lang w:val="en-US"/>
        </w:rPr>
      </w:pPr>
      <w:proofErr w:type="spellStart"/>
      <w:r w:rsidRPr="00474548">
        <w:rPr>
          <w:sz w:val="22"/>
          <w:szCs w:val="22"/>
          <w:lang w:val="en-US"/>
        </w:rPr>
        <w:t>Giuliano</w:t>
      </w:r>
      <w:proofErr w:type="spellEnd"/>
      <w:r w:rsidRPr="00474548">
        <w:rPr>
          <w:sz w:val="22"/>
          <w:szCs w:val="22"/>
          <w:lang w:val="en-US"/>
        </w:rPr>
        <w:t>, G. Linder, A. (</w:t>
      </w:r>
      <w:r w:rsidR="008353F8" w:rsidRPr="00474548">
        <w:rPr>
          <w:sz w:val="22"/>
          <w:szCs w:val="22"/>
          <w:lang w:val="en-US"/>
        </w:rPr>
        <w:t>2013</w:t>
      </w:r>
      <w:r w:rsidRPr="00474548">
        <w:rPr>
          <w:sz w:val="22"/>
          <w:szCs w:val="22"/>
          <w:lang w:val="en-US"/>
        </w:rPr>
        <w:t>),</w:t>
      </w:r>
      <w:r w:rsidR="008353F8" w:rsidRPr="00474548">
        <w:rPr>
          <w:sz w:val="22"/>
          <w:szCs w:val="22"/>
          <w:lang w:val="en-US"/>
        </w:rPr>
        <w:t xml:space="preserve"> </w:t>
      </w:r>
      <w:proofErr w:type="gramStart"/>
      <w:r w:rsidR="008353F8" w:rsidRPr="00474548">
        <w:rPr>
          <w:i/>
          <w:sz w:val="22"/>
          <w:szCs w:val="22"/>
          <w:lang w:val="en-US"/>
        </w:rPr>
        <w:t>Motivations</w:t>
      </w:r>
      <w:proofErr w:type="gramEnd"/>
      <w:r w:rsidR="008353F8" w:rsidRPr="00474548">
        <w:rPr>
          <w:i/>
          <w:sz w:val="22"/>
          <w:szCs w:val="22"/>
          <w:lang w:val="en-US"/>
        </w:rPr>
        <w:t xml:space="preserve"> for self-regulat</w:t>
      </w:r>
      <w:r w:rsidRPr="00474548">
        <w:rPr>
          <w:i/>
          <w:sz w:val="22"/>
          <w:szCs w:val="22"/>
          <w:lang w:val="en-US"/>
        </w:rPr>
        <w:t>ion: The clean air action plan</w:t>
      </w:r>
      <w:r w:rsidRPr="00474548">
        <w:rPr>
          <w:sz w:val="22"/>
          <w:szCs w:val="22"/>
          <w:lang w:val="en-US"/>
        </w:rPr>
        <w:t>, Energy Policy,</w:t>
      </w:r>
      <w:r w:rsidR="008353F8" w:rsidRPr="00474548">
        <w:rPr>
          <w:sz w:val="22"/>
          <w:szCs w:val="22"/>
          <w:lang w:val="en-US"/>
        </w:rPr>
        <w:t xml:space="preserve"> 59, 513-522.</w:t>
      </w:r>
    </w:p>
    <w:p w14:paraId="3DE05AFB" w14:textId="5968E88C" w:rsidR="00D000CC" w:rsidRPr="00474548" w:rsidRDefault="00D000CC" w:rsidP="00D000CC">
      <w:pPr>
        <w:ind w:left="720" w:hanging="720"/>
        <w:jc w:val="both"/>
        <w:rPr>
          <w:rFonts w:eastAsiaTheme="minorEastAsia"/>
          <w:color w:val="000000" w:themeColor="text1"/>
          <w:kern w:val="0"/>
          <w:sz w:val="22"/>
          <w:szCs w:val="22"/>
          <w:lang w:val="en-US" w:eastAsia="en-US"/>
        </w:rPr>
      </w:pPr>
      <w:r w:rsidRPr="00474548">
        <w:rPr>
          <w:rFonts w:eastAsiaTheme="minorEastAsia"/>
          <w:color w:val="000000" w:themeColor="text1"/>
          <w:kern w:val="0"/>
          <w:sz w:val="22"/>
          <w:szCs w:val="22"/>
          <w:lang w:val="en-US" w:eastAsia="en-US"/>
        </w:rPr>
        <w:t xml:space="preserve">Guerra, J.B.S.O.A, </w:t>
      </w:r>
      <w:r w:rsidRPr="00474548">
        <w:rPr>
          <w:rFonts w:eastAsiaTheme="minorEastAsia"/>
          <w:bCs/>
          <w:color w:val="000000" w:themeColor="text1"/>
          <w:kern w:val="0"/>
          <w:sz w:val="22"/>
          <w:szCs w:val="22"/>
          <w:lang w:val="en-US" w:eastAsia="en-US"/>
        </w:rPr>
        <w:t>Luciano, D</w:t>
      </w:r>
      <w:r w:rsidRPr="00474548">
        <w:rPr>
          <w:rFonts w:eastAsiaTheme="minorEastAsia"/>
          <w:color w:val="000000" w:themeColor="text1"/>
          <w:kern w:val="0"/>
          <w:sz w:val="22"/>
          <w:szCs w:val="22"/>
          <w:lang w:val="en-US" w:eastAsia="en-US"/>
        </w:rPr>
        <w:t xml:space="preserve">., </w:t>
      </w:r>
      <w:proofErr w:type="spellStart"/>
      <w:r w:rsidRPr="00474548">
        <w:rPr>
          <w:rFonts w:eastAsiaTheme="minorEastAsia"/>
          <w:color w:val="000000" w:themeColor="text1"/>
          <w:kern w:val="0"/>
          <w:sz w:val="22"/>
          <w:szCs w:val="22"/>
          <w:lang w:val="en-US" w:eastAsia="en-US"/>
        </w:rPr>
        <w:t>Schwinden</w:t>
      </w:r>
      <w:proofErr w:type="spellEnd"/>
      <w:r w:rsidRPr="00474548">
        <w:rPr>
          <w:rFonts w:eastAsiaTheme="minorEastAsia"/>
          <w:color w:val="000000" w:themeColor="text1"/>
          <w:kern w:val="0"/>
          <w:sz w:val="22"/>
          <w:szCs w:val="22"/>
          <w:lang w:val="en-US" w:eastAsia="en-US"/>
        </w:rPr>
        <w:t xml:space="preserve">, N.B.C., Andrade, S.F. (2014), </w:t>
      </w:r>
      <w:r w:rsidRPr="00474548">
        <w:rPr>
          <w:rFonts w:eastAsiaTheme="minorEastAsia"/>
          <w:i/>
          <w:color w:val="000000" w:themeColor="text1"/>
          <w:kern w:val="0"/>
          <w:sz w:val="22"/>
          <w:szCs w:val="22"/>
          <w:lang w:val="en-US" w:eastAsia="en-US"/>
        </w:rPr>
        <w:t>Future scenarios and trends in energy generation in Brazil: supply and demand and mitigation forecasts</w:t>
      </w:r>
      <w:r w:rsidRPr="00474548">
        <w:rPr>
          <w:rFonts w:eastAsiaTheme="minorEastAsia"/>
          <w:color w:val="000000" w:themeColor="text1"/>
          <w:kern w:val="0"/>
          <w:sz w:val="22"/>
          <w:szCs w:val="22"/>
          <w:lang w:val="en-US" w:eastAsia="en-US"/>
        </w:rPr>
        <w:t xml:space="preserve">, Journal of Cleaner Production. 1-14, Article Inn Press, DOI: </w:t>
      </w:r>
      <w:hyperlink r:id="rId21" w:history="1">
        <w:r w:rsidRPr="00474548">
          <w:rPr>
            <w:rStyle w:val="Hyperlink"/>
            <w:rFonts w:eastAsiaTheme="minorEastAsia"/>
            <w:kern w:val="0"/>
            <w:sz w:val="22"/>
            <w:szCs w:val="22"/>
            <w:lang w:val="en-US" w:eastAsia="en-US"/>
          </w:rPr>
          <w:t>http://dx.doi.org/10.1016/j.jclepro.2014.09.082</w:t>
        </w:r>
      </w:hyperlink>
    </w:p>
    <w:p w14:paraId="2706323B" w14:textId="671CB145" w:rsidR="008353F8" w:rsidRPr="00474548" w:rsidRDefault="008353F8" w:rsidP="005D1E75">
      <w:pPr>
        <w:suppressAutoHyphens w:val="0"/>
        <w:autoSpaceDE w:val="0"/>
        <w:autoSpaceDN w:val="0"/>
        <w:adjustRightInd w:val="0"/>
        <w:ind w:left="720" w:hanging="720"/>
        <w:jc w:val="both"/>
        <w:rPr>
          <w:rFonts w:eastAsiaTheme="minorEastAsia"/>
          <w:kern w:val="0"/>
          <w:sz w:val="22"/>
          <w:szCs w:val="22"/>
          <w:lang w:val="en-US" w:eastAsia="en-US"/>
        </w:rPr>
      </w:pPr>
      <w:proofErr w:type="spellStart"/>
      <w:r w:rsidRPr="00474548">
        <w:rPr>
          <w:rFonts w:eastAsiaTheme="minorEastAsia"/>
          <w:color w:val="000000"/>
          <w:kern w:val="0"/>
          <w:sz w:val="22"/>
          <w:szCs w:val="22"/>
          <w:lang w:val="en-US" w:eastAsia="en-US"/>
        </w:rPr>
        <w:t>Gugler</w:t>
      </w:r>
      <w:proofErr w:type="spellEnd"/>
      <w:r w:rsidRPr="00474548">
        <w:rPr>
          <w:rFonts w:eastAsiaTheme="minorEastAsia"/>
          <w:color w:val="000000"/>
          <w:kern w:val="0"/>
          <w:sz w:val="22"/>
          <w:szCs w:val="22"/>
          <w:lang w:val="en-US" w:eastAsia="en-US"/>
        </w:rPr>
        <w:t xml:space="preserve">, </w:t>
      </w:r>
      <w:r w:rsidR="00FC2E66" w:rsidRPr="00474548">
        <w:rPr>
          <w:rFonts w:eastAsiaTheme="minorEastAsia"/>
          <w:color w:val="000000"/>
          <w:kern w:val="0"/>
          <w:sz w:val="22"/>
          <w:szCs w:val="22"/>
          <w:lang w:val="en-US" w:eastAsia="en-US"/>
        </w:rPr>
        <w:t>K</w:t>
      </w:r>
      <w:r w:rsidRPr="00474548">
        <w:rPr>
          <w:rFonts w:eastAsiaTheme="minorEastAsia"/>
          <w:color w:val="000000"/>
          <w:kern w:val="0"/>
          <w:sz w:val="22"/>
          <w:szCs w:val="22"/>
          <w:lang w:val="en-US" w:eastAsia="en-US"/>
        </w:rPr>
        <w:t xml:space="preserve">., </w:t>
      </w:r>
      <w:proofErr w:type="spellStart"/>
      <w:r w:rsidRPr="00474548">
        <w:rPr>
          <w:rFonts w:eastAsiaTheme="minorEastAsia"/>
          <w:color w:val="000000"/>
          <w:kern w:val="0"/>
          <w:sz w:val="22"/>
          <w:szCs w:val="22"/>
          <w:lang w:val="en-US" w:eastAsia="en-US"/>
        </w:rPr>
        <w:t>Rammerstorfer</w:t>
      </w:r>
      <w:proofErr w:type="spellEnd"/>
      <w:r w:rsidRPr="00474548">
        <w:rPr>
          <w:rFonts w:eastAsiaTheme="minorEastAsia"/>
          <w:color w:val="000000"/>
          <w:kern w:val="0"/>
          <w:sz w:val="22"/>
          <w:szCs w:val="22"/>
          <w:lang w:val="en-US" w:eastAsia="en-US"/>
        </w:rPr>
        <w:t xml:space="preserve">, M., Schmitt, </w:t>
      </w:r>
      <w:r w:rsidR="00FC2E66" w:rsidRPr="00474548">
        <w:rPr>
          <w:rFonts w:eastAsiaTheme="minorEastAsia"/>
          <w:color w:val="000000"/>
          <w:kern w:val="0"/>
          <w:sz w:val="22"/>
          <w:szCs w:val="22"/>
          <w:lang w:val="en-US" w:eastAsia="en-US"/>
        </w:rPr>
        <w:t>S</w:t>
      </w:r>
      <w:r w:rsidR="00A24B3D" w:rsidRPr="00474548">
        <w:rPr>
          <w:rFonts w:eastAsiaTheme="minorEastAsia"/>
          <w:color w:val="000000"/>
          <w:kern w:val="0"/>
          <w:sz w:val="22"/>
          <w:szCs w:val="22"/>
          <w:lang w:val="en-US" w:eastAsia="en-US"/>
        </w:rPr>
        <w:t>. (2013),</w:t>
      </w:r>
      <w:r w:rsidRPr="00474548">
        <w:rPr>
          <w:rFonts w:eastAsiaTheme="minorEastAsia"/>
          <w:color w:val="000000"/>
          <w:kern w:val="0"/>
          <w:sz w:val="22"/>
          <w:szCs w:val="22"/>
          <w:lang w:val="en-US" w:eastAsia="en-US"/>
        </w:rPr>
        <w:t xml:space="preserve"> </w:t>
      </w:r>
      <w:r w:rsidRPr="00474548">
        <w:rPr>
          <w:rFonts w:eastAsiaTheme="minorEastAsia"/>
          <w:i/>
          <w:kern w:val="0"/>
          <w:sz w:val="22"/>
          <w:szCs w:val="22"/>
          <w:lang w:val="en-US" w:eastAsia="en-US"/>
        </w:rPr>
        <w:t>Ownership unbundling and investment in electricity mar</w:t>
      </w:r>
      <w:r w:rsidR="00A24B3D" w:rsidRPr="00474548">
        <w:rPr>
          <w:rFonts w:eastAsiaTheme="minorEastAsia"/>
          <w:i/>
          <w:kern w:val="0"/>
          <w:sz w:val="22"/>
          <w:szCs w:val="22"/>
          <w:lang w:val="en-US" w:eastAsia="en-US"/>
        </w:rPr>
        <w:t>kets — A cross country study</w:t>
      </w:r>
      <w:r w:rsidR="00A24B3D" w:rsidRPr="00474548">
        <w:rPr>
          <w:rFonts w:eastAsiaTheme="minorEastAsia"/>
          <w:kern w:val="0"/>
          <w:sz w:val="22"/>
          <w:szCs w:val="22"/>
          <w:lang w:val="en-US" w:eastAsia="en-US"/>
        </w:rPr>
        <w:t xml:space="preserve">, Energy Policy, </w:t>
      </w:r>
      <w:r w:rsidRPr="00474548">
        <w:rPr>
          <w:rFonts w:eastAsiaTheme="minorEastAsia"/>
          <w:kern w:val="0"/>
          <w:sz w:val="22"/>
          <w:szCs w:val="22"/>
          <w:lang w:val="en-US" w:eastAsia="en-US"/>
        </w:rPr>
        <w:t>40, 702-712.</w:t>
      </w:r>
    </w:p>
    <w:p w14:paraId="4C577854" w14:textId="64EA0259" w:rsidR="00BA7477" w:rsidRPr="00474548" w:rsidRDefault="00A24B3D" w:rsidP="005D1E75">
      <w:pPr>
        <w:suppressAutoHyphens w:val="0"/>
        <w:autoSpaceDE w:val="0"/>
        <w:autoSpaceDN w:val="0"/>
        <w:adjustRightInd w:val="0"/>
        <w:ind w:left="720" w:hanging="720"/>
        <w:jc w:val="both"/>
        <w:rPr>
          <w:rFonts w:eastAsiaTheme="minorEastAsia"/>
          <w:color w:val="000000" w:themeColor="text1"/>
          <w:kern w:val="0"/>
          <w:sz w:val="22"/>
          <w:szCs w:val="22"/>
          <w:lang w:val="en-US" w:eastAsia="en-US"/>
        </w:rPr>
      </w:pPr>
      <w:r w:rsidRPr="00474548">
        <w:rPr>
          <w:rFonts w:eastAsiaTheme="minorEastAsia"/>
          <w:color w:val="000000" w:themeColor="text1"/>
          <w:kern w:val="0"/>
          <w:sz w:val="22"/>
          <w:szCs w:val="22"/>
          <w:lang w:val="en-US" w:eastAsia="en-US"/>
        </w:rPr>
        <w:t xml:space="preserve">Gomes, A.C.S., </w:t>
      </w:r>
      <w:proofErr w:type="spellStart"/>
      <w:r w:rsidRPr="00474548">
        <w:rPr>
          <w:rFonts w:eastAsiaTheme="minorEastAsia"/>
          <w:color w:val="000000" w:themeColor="text1"/>
          <w:kern w:val="0"/>
          <w:sz w:val="22"/>
          <w:szCs w:val="22"/>
          <w:lang w:val="en-US" w:eastAsia="en-US"/>
        </w:rPr>
        <w:t>Albarca</w:t>
      </w:r>
      <w:proofErr w:type="spellEnd"/>
      <w:r w:rsidRPr="00474548">
        <w:rPr>
          <w:rFonts w:eastAsiaTheme="minorEastAsia"/>
          <w:color w:val="000000" w:themeColor="text1"/>
          <w:kern w:val="0"/>
          <w:sz w:val="22"/>
          <w:szCs w:val="22"/>
          <w:lang w:val="en-US" w:eastAsia="en-US"/>
        </w:rPr>
        <w:t xml:space="preserve">, C.D., </w:t>
      </w:r>
      <w:proofErr w:type="spellStart"/>
      <w:r w:rsidRPr="00474548">
        <w:rPr>
          <w:rFonts w:eastAsiaTheme="minorEastAsia"/>
          <w:color w:val="000000" w:themeColor="text1"/>
          <w:kern w:val="0"/>
          <w:sz w:val="22"/>
          <w:szCs w:val="22"/>
          <w:lang w:val="en-US" w:eastAsia="en-US"/>
        </w:rPr>
        <w:t>Faria</w:t>
      </w:r>
      <w:proofErr w:type="spellEnd"/>
      <w:r w:rsidRPr="00474548">
        <w:rPr>
          <w:rFonts w:eastAsiaTheme="minorEastAsia"/>
          <w:color w:val="000000" w:themeColor="text1"/>
          <w:kern w:val="0"/>
          <w:sz w:val="22"/>
          <w:szCs w:val="22"/>
          <w:lang w:val="en-US" w:eastAsia="en-US"/>
        </w:rPr>
        <w:t xml:space="preserve">, E.S.T., </w:t>
      </w:r>
      <w:proofErr w:type="spellStart"/>
      <w:r w:rsidRPr="00474548">
        <w:rPr>
          <w:rFonts w:eastAsiaTheme="minorEastAsia"/>
          <w:color w:val="000000" w:themeColor="text1"/>
          <w:kern w:val="0"/>
          <w:sz w:val="22"/>
          <w:szCs w:val="22"/>
          <w:lang w:val="en-US" w:eastAsia="en-US"/>
        </w:rPr>
        <w:t>Fernandes</w:t>
      </w:r>
      <w:proofErr w:type="spellEnd"/>
      <w:r w:rsidRPr="00474548">
        <w:rPr>
          <w:rFonts w:eastAsiaTheme="minorEastAsia"/>
          <w:color w:val="000000" w:themeColor="text1"/>
          <w:kern w:val="0"/>
          <w:sz w:val="22"/>
          <w:szCs w:val="22"/>
          <w:lang w:val="en-US" w:eastAsia="en-US"/>
        </w:rPr>
        <w:t>, H.H. (2014),</w:t>
      </w:r>
      <w:r w:rsidR="008353F8" w:rsidRPr="00474548">
        <w:rPr>
          <w:rFonts w:eastAsiaTheme="minorEastAsia"/>
          <w:color w:val="000000" w:themeColor="text1"/>
          <w:kern w:val="0"/>
          <w:sz w:val="22"/>
          <w:szCs w:val="22"/>
          <w:lang w:val="en-US" w:eastAsia="en-US"/>
        </w:rPr>
        <w:t xml:space="preserve"> </w:t>
      </w:r>
      <w:r w:rsidR="008353F8" w:rsidRPr="00474548">
        <w:rPr>
          <w:rFonts w:eastAsiaTheme="minorEastAsia"/>
          <w:i/>
          <w:color w:val="000000" w:themeColor="text1"/>
          <w:kern w:val="0"/>
          <w:sz w:val="22"/>
          <w:szCs w:val="22"/>
          <w:lang w:val="en-US" w:eastAsia="en-US"/>
        </w:rPr>
        <w:t xml:space="preserve">BNDES 50 </w:t>
      </w:r>
      <w:proofErr w:type="spellStart"/>
      <w:r w:rsidR="008353F8" w:rsidRPr="00474548">
        <w:rPr>
          <w:rFonts w:eastAsiaTheme="minorEastAsia"/>
          <w:i/>
          <w:color w:val="000000" w:themeColor="text1"/>
          <w:kern w:val="0"/>
          <w:sz w:val="22"/>
          <w:szCs w:val="22"/>
          <w:lang w:val="en-US" w:eastAsia="en-US"/>
        </w:rPr>
        <w:t>Anos</w:t>
      </w:r>
      <w:proofErr w:type="spellEnd"/>
      <w:r w:rsidR="008353F8" w:rsidRPr="00474548">
        <w:rPr>
          <w:rFonts w:eastAsiaTheme="minorEastAsia"/>
          <w:i/>
          <w:color w:val="000000" w:themeColor="text1"/>
          <w:kern w:val="0"/>
          <w:sz w:val="22"/>
          <w:szCs w:val="22"/>
          <w:lang w:val="en-US" w:eastAsia="en-US"/>
        </w:rPr>
        <w:t xml:space="preserve"> e </w:t>
      </w:r>
      <w:proofErr w:type="spellStart"/>
      <w:r w:rsidR="008353F8" w:rsidRPr="00474548">
        <w:rPr>
          <w:rFonts w:eastAsiaTheme="minorEastAsia"/>
          <w:i/>
          <w:color w:val="000000" w:themeColor="text1"/>
          <w:kern w:val="0"/>
          <w:sz w:val="22"/>
          <w:szCs w:val="22"/>
          <w:lang w:val="en-US" w:eastAsia="en-US"/>
        </w:rPr>
        <w:t>Historias</w:t>
      </w:r>
      <w:proofErr w:type="spellEnd"/>
      <w:r w:rsidR="008353F8" w:rsidRPr="00474548">
        <w:rPr>
          <w:rFonts w:eastAsiaTheme="minorEastAsia"/>
          <w:i/>
          <w:color w:val="000000" w:themeColor="text1"/>
          <w:kern w:val="0"/>
          <w:sz w:val="22"/>
          <w:szCs w:val="22"/>
          <w:lang w:val="en-US" w:eastAsia="en-US"/>
        </w:rPr>
        <w:t xml:space="preserve"> </w:t>
      </w:r>
      <w:proofErr w:type="spellStart"/>
      <w:r w:rsidR="008353F8" w:rsidRPr="00474548">
        <w:rPr>
          <w:rFonts w:eastAsiaTheme="minorEastAsia"/>
          <w:i/>
          <w:color w:val="000000" w:themeColor="text1"/>
          <w:kern w:val="0"/>
          <w:sz w:val="22"/>
          <w:szCs w:val="22"/>
          <w:lang w:val="en-US" w:eastAsia="en-US"/>
        </w:rPr>
        <w:t>Setoriais</w:t>
      </w:r>
      <w:proofErr w:type="spellEnd"/>
      <w:r w:rsidR="008353F8" w:rsidRPr="00474548">
        <w:rPr>
          <w:rFonts w:eastAsiaTheme="minorEastAsia"/>
          <w:color w:val="000000" w:themeColor="text1"/>
          <w:kern w:val="0"/>
          <w:sz w:val="22"/>
          <w:szCs w:val="22"/>
          <w:lang w:val="en-US" w:eastAsia="en-US"/>
        </w:rPr>
        <w:t xml:space="preserve">: O </w:t>
      </w:r>
      <w:proofErr w:type="spellStart"/>
      <w:r w:rsidR="008353F8" w:rsidRPr="00474548">
        <w:rPr>
          <w:rFonts w:eastAsiaTheme="minorEastAsia"/>
          <w:color w:val="000000" w:themeColor="text1"/>
          <w:kern w:val="0"/>
          <w:sz w:val="22"/>
          <w:szCs w:val="22"/>
          <w:lang w:val="en-US" w:eastAsia="en-US"/>
        </w:rPr>
        <w:t>Setor</w:t>
      </w:r>
      <w:proofErr w:type="spellEnd"/>
      <w:r w:rsidR="008353F8" w:rsidRPr="00474548">
        <w:rPr>
          <w:rFonts w:eastAsiaTheme="minorEastAsia"/>
          <w:color w:val="000000" w:themeColor="text1"/>
          <w:kern w:val="0"/>
          <w:sz w:val="22"/>
          <w:szCs w:val="22"/>
          <w:lang w:val="en-US" w:eastAsia="en-US"/>
        </w:rPr>
        <w:t xml:space="preserve"> </w:t>
      </w:r>
      <w:proofErr w:type="spellStart"/>
      <w:r w:rsidR="008353F8" w:rsidRPr="00474548">
        <w:rPr>
          <w:rFonts w:eastAsiaTheme="minorEastAsia"/>
          <w:color w:val="000000" w:themeColor="text1"/>
          <w:kern w:val="0"/>
          <w:sz w:val="22"/>
          <w:szCs w:val="22"/>
          <w:lang w:val="en-US" w:eastAsia="en-US"/>
        </w:rPr>
        <w:t>Eletrico</w:t>
      </w:r>
      <w:proofErr w:type="spellEnd"/>
      <w:r w:rsidR="008353F8" w:rsidRPr="00474548">
        <w:rPr>
          <w:rFonts w:eastAsiaTheme="minorEastAsia"/>
          <w:color w:val="000000" w:themeColor="text1"/>
          <w:kern w:val="0"/>
          <w:sz w:val="22"/>
          <w:szCs w:val="22"/>
          <w:lang w:val="en-US" w:eastAsia="en-US"/>
        </w:rPr>
        <w:t xml:space="preserve">. </w:t>
      </w:r>
    </w:p>
    <w:p w14:paraId="33C1C4F2" w14:textId="246DEECA" w:rsidR="008353F8" w:rsidRPr="00474548" w:rsidRDefault="008353F8" w:rsidP="00A24B3D">
      <w:pPr>
        <w:suppressAutoHyphens w:val="0"/>
        <w:autoSpaceDE w:val="0"/>
        <w:autoSpaceDN w:val="0"/>
        <w:adjustRightInd w:val="0"/>
        <w:jc w:val="both"/>
        <w:rPr>
          <w:rFonts w:eastAsiaTheme="minorEastAsia"/>
          <w:color w:val="000000" w:themeColor="text1"/>
          <w:kern w:val="0"/>
          <w:sz w:val="22"/>
          <w:szCs w:val="22"/>
          <w:lang w:val="en-US" w:eastAsia="en-US"/>
        </w:rPr>
      </w:pPr>
      <w:r w:rsidRPr="00474548">
        <w:rPr>
          <w:rFonts w:eastAsiaTheme="minorEastAsia"/>
          <w:color w:val="000000" w:themeColor="text1"/>
          <w:kern w:val="0"/>
          <w:sz w:val="22"/>
          <w:szCs w:val="22"/>
          <w:lang w:val="en-US" w:eastAsia="en-US"/>
        </w:rPr>
        <w:t>http://www.bndes.gov.br/SiteBNDES/export/sites/default/bndes_pt/Galerias/Arquivos/conhecimento/livro_setorial/setorial14.pdf (Retrieved September</w:t>
      </w:r>
      <w:r w:rsidR="00BA7477" w:rsidRPr="00474548">
        <w:rPr>
          <w:rFonts w:eastAsiaTheme="minorEastAsia"/>
          <w:color w:val="000000" w:themeColor="text1"/>
          <w:kern w:val="0"/>
          <w:sz w:val="22"/>
          <w:szCs w:val="22"/>
          <w:lang w:val="en-US" w:eastAsia="en-US"/>
        </w:rPr>
        <w:t xml:space="preserve"> 21</w:t>
      </w:r>
      <w:r w:rsidRPr="00474548">
        <w:rPr>
          <w:rFonts w:eastAsiaTheme="minorEastAsia"/>
          <w:color w:val="000000" w:themeColor="text1"/>
          <w:kern w:val="0"/>
          <w:sz w:val="22"/>
          <w:szCs w:val="22"/>
          <w:lang w:val="en-US" w:eastAsia="en-US"/>
        </w:rPr>
        <w:t>, 2014).</w:t>
      </w:r>
    </w:p>
    <w:p w14:paraId="2BAD44A4" w14:textId="2415385D" w:rsidR="008353F8" w:rsidRPr="00474548" w:rsidRDefault="00A24B3D" w:rsidP="005D1E75">
      <w:pPr>
        <w:suppressAutoHyphens w:val="0"/>
        <w:autoSpaceDE w:val="0"/>
        <w:autoSpaceDN w:val="0"/>
        <w:adjustRightInd w:val="0"/>
        <w:ind w:left="720" w:hanging="720"/>
        <w:jc w:val="both"/>
        <w:rPr>
          <w:rFonts w:eastAsiaTheme="minorEastAsia"/>
          <w:color w:val="000000" w:themeColor="text1"/>
          <w:kern w:val="0"/>
          <w:sz w:val="22"/>
          <w:szCs w:val="22"/>
          <w:lang w:val="en-US" w:eastAsia="en-US"/>
        </w:rPr>
      </w:pPr>
      <w:proofErr w:type="spellStart"/>
      <w:r w:rsidRPr="00474548">
        <w:rPr>
          <w:rFonts w:eastAsia="Times New Roman"/>
          <w:kern w:val="0"/>
          <w:sz w:val="22"/>
          <w:szCs w:val="22"/>
          <w:lang w:val="en-US"/>
        </w:rPr>
        <w:t>Grau</w:t>
      </w:r>
      <w:proofErr w:type="spellEnd"/>
      <w:r w:rsidRPr="00474548">
        <w:rPr>
          <w:rFonts w:eastAsia="Times New Roman"/>
          <w:kern w:val="0"/>
          <w:sz w:val="22"/>
          <w:szCs w:val="22"/>
          <w:lang w:val="en-US"/>
        </w:rPr>
        <w:t>, E.R. (2001),</w:t>
      </w:r>
      <w:r w:rsidR="008353F8" w:rsidRPr="00474548">
        <w:rPr>
          <w:rFonts w:eastAsia="Times New Roman"/>
          <w:kern w:val="0"/>
          <w:sz w:val="22"/>
          <w:szCs w:val="22"/>
          <w:lang w:val="en-US"/>
        </w:rPr>
        <w:t xml:space="preserve"> </w:t>
      </w:r>
      <w:r w:rsidR="008353F8" w:rsidRPr="00474548">
        <w:rPr>
          <w:rFonts w:eastAsia="Times New Roman"/>
          <w:i/>
          <w:kern w:val="0"/>
          <w:sz w:val="22"/>
          <w:szCs w:val="22"/>
          <w:lang w:val="en-US"/>
        </w:rPr>
        <w:t xml:space="preserve">Um novo </w:t>
      </w:r>
      <w:proofErr w:type="spellStart"/>
      <w:r w:rsidR="008353F8" w:rsidRPr="00474548">
        <w:rPr>
          <w:rFonts w:eastAsia="Times New Roman"/>
          <w:i/>
          <w:kern w:val="0"/>
          <w:sz w:val="22"/>
          <w:szCs w:val="22"/>
          <w:lang w:val="en-US"/>
        </w:rPr>
        <w:t>Paradigma</w:t>
      </w:r>
      <w:proofErr w:type="spellEnd"/>
      <w:r w:rsidR="008353F8" w:rsidRPr="00474548">
        <w:rPr>
          <w:rFonts w:eastAsia="Times New Roman"/>
          <w:i/>
          <w:kern w:val="0"/>
          <w:sz w:val="22"/>
          <w:szCs w:val="22"/>
          <w:lang w:val="en-US"/>
        </w:rPr>
        <w:t xml:space="preserve"> dos </w:t>
      </w:r>
      <w:proofErr w:type="spellStart"/>
      <w:r w:rsidR="008353F8" w:rsidRPr="00474548">
        <w:rPr>
          <w:rFonts w:eastAsia="Times New Roman"/>
          <w:i/>
          <w:kern w:val="0"/>
          <w:sz w:val="22"/>
          <w:szCs w:val="22"/>
          <w:lang w:val="en-US"/>
        </w:rPr>
        <w:t>Contratos</w:t>
      </w:r>
      <w:proofErr w:type="spellEnd"/>
      <w:r w:rsidR="008353F8" w:rsidRPr="00474548">
        <w:rPr>
          <w:rFonts w:eastAsia="Times New Roman"/>
          <w:i/>
          <w:kern w:val="0"/>
          <w:sz w:val="22"/>
          <w:szCs w:val="22"/>
          <w:lang w:val="en-US"/>
        </w:rPr>
        <w:t>?</w:t>
      </w:r>
      <w:r w:rsidR="008353F8" w:rsidRPr="00474548">
        <w:rPr>
          <w:rFonts w:eastAsia="Times New Roman"/>
          <w:kern w:val="0"/>
          <w:sz w:val="22"/>
          <w:szCs w:val="22"/>
          <w:lang w:val="en-US"/>
        </w:rPr>
        <w:t xml:space="preserve"> </w:t>
      </w:r>
      <w:proofErr w:type="spellStart"/>
      <w:r w:rsidR="008353F8" w:rsidRPr="00474548">
        <w:rPr>
          <w:rFonts w:eastAsia="Times New Roman"/>
          <w:kern w:val="0"/>
          <w:sz w:val="22"/>
          <w:szCs w:val="22"/>
          <w:lang w:val="en-US"/>
        </w:rPr>
        <w:t>Revista</w:t>
      </w:r>
      <w:proofErr w:type="spellEnd"/>
      <w:r w:rsidR="008353F8" w:rsidRPr="00474548">
        <w:rPr>
          <w:rFonts w:eastAsia="Times New Roman"/>
          <w:kern w:val="0"/>
          <w:sz w:val="22"/>
          <w:szCs w:val="22"/>
          <w:lang w:val="en-US"/>
        </w:rPr>
        <w:t xml:space="preserve"> de </w:t>
      </w:r>
      <w:proofErr w:type="spellStart"/>
      <w:r w:rsidR="008353F8" w:rsidRPr="00474548">
        <w:rPr>
          <w:rFonts w:eastAsia="Times New Roman"/>
          <w:kern w:val="0"/>
          <w:sz w:val="22"/>
          <w:szCs w:val="22"/>
          <w:lang w:val="en-US"/>
        </w:rPr>
        <w:t>Direito</w:t>
      </w:r>
      <w:proofErr w:type="spellEnd"/>
      <w:r w:rsidR="008353F8" w:rsidRPr="00474548">
        <w:rPr>
          <w:rFonts w:eastAsia="Times New Roman"/>
          <w:kern w:val="0"/>
          <w:sz w:val="22"/>
          <w:szCs w:val="22"/>
          <w:lang w:val="en-US"/>
        </w:rPr>
        <w:t xml:space="preserve"> Civil, Rio de Janeiro. 5, 74.</w:t>
      </w:r>
    </w:p>
    <w:p w14:paraId="312F216B" w14:textId="3043F996" w:rsidR="008353F8" w:rsidRPr="00474548" w:rsidRDefault="00732D41" w:rsidP="005D1E75">
      <w:pPr>
        <w:ind w:left="720" w:hanging="720"/>
        <w:jc w:val="both"/>
        <w:rPr>
          <w:sz w:val="22"/>
          <w:szCs w:val="22"/>
          <w:shd w:val="clear" w:color="auto" w:fill="FFFFFF"/>
          <w:lang w:val="en-US"/>
        </w:rPr>
      </w:pPr>
      <w:r w:rsidRPr="00474548">
        <w:rPr>
          <w:sz w:val="22"/>
          <w:szCs w:val="22"/>
          <w:shd w:val="clear" w:color="auto" w:fill="FFFFFF"/>
          <w:lang w:val="en-US"/>
        </w:rPr>
        <w:t>IEA. (</w:t>
      </w:r>
      <w:r w:rsidR="008353F8" w:rsidRPr="00474548">
        <w:rPr>
          <w:sz w:val="22"/>
          <w:szCs w:val="22"/>
          <w:shd w:val="clear" w:color="auto" w:fill="FFFFFF"/>
          <w:lang w:val="en-US"/>
        </w:rPr>
        <w:t>20</w:t>
      </w:r>
      <w:r w:rsidRPr="00474548">
        <w:rPr>
          <w:sz w:val="22"/>
          <w:szCs w:val="22"/>
          <w:shd w:val="clear" w:color="auto" w:fill="FFFFFF"/>
          <w:lang w:val="en-US"/>
        </w:rPr>
        <w:t>10),</w:t>
      </w:r>
      <w:r w:rsidR="00A24B3D" w:rsidRPr="00474548">
        <w:rPr>
          <w:sz w:val="22"/>
          <w:szCs w:val="22"/>
          <w:shd w:val="clear" w:color="auto" w:fill="FFFFFF"/>
          <w:lang w:val="en-US"/>
        </w:rPr>
        <w:t xml:space="preserve"> </w:t>
      </w:r>
      <w:r w:rsidR="00A24B3D" w:rsidRPr="00474548">
        <w:rPr>
          <w:i/>
          <w:sz w:val="22"/>
          <w:szCs w:val="22"/>
          <w:shd w:val="clear" w:color="auto" w:fill="FFFFFF"/>
          <w:lang w:val="en-US"/>
        </w:rPr>
        <w:t>International Energy Agency</w:t>
      </w:r>
      <w:r w:rsidR="00A24B3D" w:rsidRPr="00474548">
        <w:rPr>
          <w:sz w:val="22"/>
          <w:szCs w:val="22"/>
          <w:shd w:val="clear" w:color="auto" w:fill="FFFFFF"/>
          <w:lang w:val="en-US"/>
        </w:rPr>
        <w:t>,</w:t>
      </w:r>
      <w:r w:rsidR="008353F8" w:rsidRPr="00474548">
        <w:rPr>
          <w:sz w:val="22"/>
          <w:szCs w:val="22"/>
          <w:shd w:val="clear" w:color="auto" w:fill="FFFFFF"/>
          <w:lang w:val="en-US"/>
        </w:rPr>
        <w:t xml:space="preserve"> Energy Technology Perspect</w:t>
      </w:r>
      <w:r w:rsidR="00A24B3D" w:rsidRPr="00474548">
        <w:rPr>
          <w:sz w:val="22"/>
          <w:szCs w:val="22"/>
          <w:shd w:val="clear" w:color="auto" w:fill="FFFFFF"/>
          <w:lang w:val="en-US"/>
        </w:rPr>
        <w:t>ives,</w:t>
      </w:r>
      <w:r w:rsidR="008353F8" w:rsidRPr="00474548">
        <w:rPr>
          <w:sz w:val="22"/>
          <w:szCs w:val="22"/>
          <w:shd w:val="clear" w:color="auto" w:fill="FFFFFF"/>
          <w:lang w:val="en-US"/>
        </w:rPr>
        <w:t xml:space="preserve"> OECD/IEA, Paris.</w:t>
      </w:r>
    </w:p>
    <w:p w14:paraId="7821D78A" w14:textId="0C8CE23E" w:rsidR="008353F8" w:rsidRPr="00474548" w:rsidRDefault="00A24B3D" w:rsidP="005D1E75">
      <w:pPr>
        <w:ind w:left="720" w:hanging="720"/>
        <w:jc w:val="both"/>
        <w:rPr>
          <w:sz w:val="22"/>
          <w:szCs w:val="22"/>
          <w:lang w:val="en-US"/>
        </w:rPr>
      </w:pPr>
      <w:r w:rsidRPr="00474548">
        <w:rPr>
          <w:sz w:val="22"/>
          <w:szCs w:val="22"/>
          <w:lang w:val="en-US"/>
        </w:rPr>
        <w:t>Lawson, T. (1988),</w:t>
      </w:r>
      <w:r w:rsidR="008353F8" w:rsidRPr="00474548">
        <w:rPr>
          <w:sz w:val="22"/>
          <w:szCs w:val="22"/>
          <w:lang w:val="en-US"/>
        </w:rPr>
        <w:t xml:space="preserve"> </w:t>
      </w:r>
      <w:r w:rsidR="008353F8" w:rsidRPr="00474548">
        <w:rPr>
          <w:i/>
          <w:sz w:val="22"/>
          <w:szCs w:val="22"/>
          <w:lang w:val="en-US"/>
        </w:rPr>
        <w:t>Probability and uncertainty in economic analysis</w:t>
      </w:r>
      <w:r w:rsidR="00732D41" w:rsidRPr="00474548">
        <w:rPr>
          <w:sz w:val="22"/>
          <w:szCs w:val="22"/>
          <w:lang w:val="en-US"/>
        </w:rPr>
        <w:t xml:space="preserve">, </w:t>
      </w:r>
      <w:r w:rsidR="008353F8" w:rsidRPr="00474548">
        <w:rPr>
          <w:sz w:val="22"/>
          <w:szCs w:val="22"/>
          <w:lang w:val="en-US"/>
        </w:rPr>
        <w:t xml:space="preserve">Journal </w:t>
      </w:r>
      <w:r w:rsidR="006813F2" w:rsidRPr="00474548">
        <w:rPr>
          <w:sz w:val="22"/>
          <w:szCs w:val="22"/>
          <w:lang w:val="en-US"/>
        </w:rPr>
        <w:t>of Post Keynesian Economics, 11</w:t>
      </w:r>
      <w:r w:rsidR="008353F8" w:rsidRPr="00474548">
        <w:rPr>
          <w:sz w:val="22"/>
          <w:szCs w:val="22"/>
          <w:lang w:val="en-US"/>
        </w:rPr>
        <w:t>(1), 38-65.</w:t>
      </w:r>
    </w:p>
    <w:p w14:paraId="2D657AC4" w14:textId="0B846B79" w:rsidR="008353F8" w:rsidRPr="00474548" w:rsidRDefault="006813F2" w:rsidP="005D1E75">
      <w:pPr>
        <w:suppressAutoHyphens w:val="0"/>
        <w:autoSpaceDE w:val="0"/>
        <w:autoSpaceDN w:val="0"/>
        <w:adjustRightInd w:val="0"/>
        <w:ind w:left="720" w:hanging="720"/>
        <w:jc w:val="both"/>
        <w:rPr>
          <w:rFonts w:eastAsiaTheme="minorEastAsia"/>
          <w:kern w:val="0"/>
          <w:sz w:val="22"/>
          <w:szCs w:val="22"/>
          <w:lang w:val="en-US" w:eastAsia="en-US"/>
        </w:rPr>
      </w:pPr>
      <w:proofErr w:type="spellStart"/>
      <w:r w:rsidRPr="00474548">
        <w:rPr>
          <w:rFonts w:eastAsiaTheme="minorEastAsia"/>
          <w:kern w:val="0"/>
          <w:sz w:val="22"/>
          <w:szCs w:val="22"/>
          <w:lang w:val="en-US" w:eastAsia="en-US"/>
        </w:rPr>
        <w:t>Lintner</w:t>
      </w:r>
      <w:proofErr w:type="spellEnd"/>
      <w:r w:rsidRPr="00474548">
        <w:rPr>
          <w:rFonts w:eastAsiaTheme="minorEastAsia"/>
          <w:kern w:val="0"/>
          <w:sz w:val="22"/>
          <w:szCs w:val="22"/>
          <w:lang w:val="en-US" w:eastAsia="en-US"/>
        </w:rPr>
        <w:t xml:space="preserve">, J. (1965), </w:t>
      </w:r>
      <w:r w:rsidR="008353F8" w:rsidRPr="00474548">
        <w:rPr>
          <w:rFonts w:eastAsiaTheme="minorEastAsia"/>
          <w:i/>
          <w:kern w:val="0"/>
          <w:sz w:val="22"/>
          <w:szCs w:val="22"/>
          <w:lang w:val="en-US" w:eastAsia="en-US"/>
        </w:rPr>
        <w:t>The valuation of risk assets and the selection of risky investments in stock portfolios and capital budgets</w:t>
      </w:r>
      <w:r w:rsidR="00732D41" w:rsidRPr="00474548">
        <w:rPr>
          <w:rFonts w:eastAsiaTheme="minorEastAsia"/>
          <w:kern w:val="0"/>
          <w:sz w:val="22"/>
          <w:szCs w:val="22"/>
          <w:lang w:val="en-US" w:eastAsia="en-US"/>
        </w:rPr>
        <w:t xml:space="preserve">, </w:t>
      </w:r>
      <w:r w:rsidR="008353F8" w:rsidRPr="00474548">
        <w:rPr>
          <w:rFonts w:eastAsiaTheme="minorEastAsia"/>
          <w:kern w:val="0"/>
          <w:sz w:val="22"/>
          <w:szCs w:val="22"/>
          <w:lang w:val="en-US" w:eastAsia="en-US"/>
        </w:rPr>
        <w:t>Revi</w:t>
      </w:r>
      <w:r w:rsidRPr="00474548">
        <w:rPr>
          <w:rFonts w:eastAsiaTheme="minorEastAsia"/>
          <w:kern w:val="0"/>
          <w:sz w:val="22"/>
          <w:szCs w:val="22"/>
          <w:lang w:val="en-US" w:eastAsia="en-US"/>
        </w:rPr>
        <w:t xml:space="preserve">ew of Economics and Statistics, </w:t>
      </w:r>
      <w:r w:rsidR="008353F8" w:rsidRPr="00474548">
        <w:rPr>
          <w:rFonts w:eastAsiaTheme="minorEastAsia"/>
          <w:kern w:val="0"/>
          <w:sz w:val="22"/>
          <w:szCs w:val="22"/>
          <w:lang w:val="en-US" w:eastAsia="en-US"/>
        </w:rPr>
        <w:t>47, 13–37.</w:t>
      </w:r>
    </w:p>
    <w:p w14:paraId="292383ED" w14:textId="15B5F2E1" w:rsidR="008353F8" w:rsidRPr="00474548" w:rsidRDefault="006813F2" w:rsidP="005D1E75">
      <w:pPr>
        <w:ind w:left="720" w:hanging="720"/>
        <w:jc w:val="both"/>
        <w:rPr>
          <w:sz w:val="22"/>
          <w:szCs w:val="22"/>
          <w:shd w:val="clear" w:color="auto" w:fill="FFFFFF"/>
          <w:lang w:val="en-US"/>
        </w:rPr>
      </w:pPr>
      <w:proofErr w:type="spellStart"/>
      <w:r w:rsidRPr="00474548">
        <w:rPr>
          <w:sz w:val="22"/>
          <w:szCs w:val="22"/>
          <w:shd w:val="clear" w:color="auto" w:fill="FFFFFF"/>
          <w:lang w:val="en-US"/>
        </w:rPr>
        <w:t>Mackinlay</w:t>
      </w:r>
      <w:proofErr w:type="spellEnd"/>
      <w:r w:rsidRPr="00474548">
        <w:rPr>
          <w:sz w:val="22"/>
          <w:szCs w:val="22"/>
          <w:shd w:val="clear" w:color="auto" w:fill="FFFFFF"/>
          <w:lang w:val="en-US"/>
        </w:rPr>
        <w:t>, A.C. (</w:t>
      </w:r>
      <w:r w:rsidR="008353F8" w:rsidRPr="00474548">
        <w:rPr>
          <w:sz w:val="22"/>
          <w:szCs w:val="22"/>
          <w:shd w:val="clear" w:color="auto" w:fill="FFFFFF"/>
          <w:lang w:val="en-US"/>
        </w:rPr>
        <w:t>1997</w:t>
      </w:r>
      <w:r w:rsidRPr="00474548">
        <w:rPr>
          <w:sz w:val="22"/>
          <w:szCs w:val="22"/>
          <w:shd w:val="clear" w:color="auto" w:fill="FFFFFF"/>
          <w:lang w:val="en-US"/>
        </w:rPr>
        <w:t>),</w:t>
      </w:r>
      <w:r w:rsidR="008353F8" w:rsidRPr="00474548">
        <w:rPr>
          <w:sz w:val="22"/>
          <w:szCs w:val="22"/>
          <w:shd w:val="clear" w:color="auto" w:fill="FFFFFF"/>
          <w:lang w:val="en-US"/>
        </w:rPr>
        <w:t xml:space="preserve"> </w:t>
      </w:r>
      <w:r w:rsidR="008353F8" w:rsidRPr="00474548">
        <w:rPr>
          <w:i/>
          <w:sz w:val="22"/>
          <w:szCs w:val="22"/>
          <w:shd w:val="clear" w:color="auto" w:fill="FFFFFF"/>
          <w:lang w:val="en-US"/>
        </w:rPr>
        <w:t>Event s</w:t>
      </w:r>
      <w:r w:rsidRPr="00474548">
        <w:rPr>
          <w:i/>
          <w:sz w:val="22"/>
          <w:szCs w:val="22"/>
          <w:shd w:val="clear" w:color="auto" w:fill="FFFFFF"/>
          <w:lang w:val="en-US"/>
        </w:rPr>
        <w:t>tudies in economics and finance</w:t>
      </w:r>
      <w:r w:rsidRPr="00474548">
        <w:rPr>
          <w:sz w:val="22"/>
          <w:szCs w:val="22"/>
          <w:shd w:val="clear" w:color="auto" w:fill="FFFFFF"/>
          <w:lang w:val="en-US"/>
        </w:rPr>
        <w:t>,</w:t>
      </w:r>
      <w:r w:rsidR="008353F8" w:rsidRPr="00474548">
        <w:rPr>
          <w:sz w:val="22"/>
          <w:szCs w:val="22"/>
          <w:shd w:val="clear" w:color="auto" w:fill="FFFFFF"/>
          <w:lang w:val="en-US"/>
        </w:rPr>
        <w:t xml:space="preserve"> Journal of Economic</w:t>
      </w:r>
      <w:r w:rsidRPr="00474548">
        <w:rPr>
          <w:sz w:val="22"/>
          <w:szCs w:val="22"/>
          <w:shd w:val="clear" w:color="auto" w:fill="FFFFFF"/>
          <w:lang w:val="en-US"/>
        </w:rPr>
        <w:t xml:space="preserve"> Literature, Pittsburgh, PA. 35</w:t>
      </w:r>
      <w:r w:rsidR="008353F8" w:rsidRPr="00474548">
        <w:rPr>
          <w:sz w:val="22"/>
          <w:szCs w:val="22"/>
          <w:shd w:val="clear" w:color="auto" w:fill="FFFFFF"/>
          <w:lang w:val="en-US"/>
        </w:rPr>
        <w:t>(1), 13-39.</w:t>
      </w:r>
    </w:p>
    <w:p w14:paraId="5288E2F4" w14:textId="4D23A36D" w:rsidR="008353F8" w:rsidRPr="00474548" w:rsidRDefault="006813F2" w:rsidP="005D1E75">
      <w:pPr>
        <w:ind w:left="720" w:hanging="720"/>
        <w:jc w:val="both"/>
        <w:rPr>
          <w:sz w:val="22"/>
          <w:szCs w:val="22"/>
          <w:lang w:val="en-US"/>
        </w:rPr>
      </w:pPr>
      <w:proofErr w:type="spellStart"/>
      <w:r w:rsidRPr="00474548">
        <w:rPr>
          <w:sz w:val="22"/>
          <w:szCs w:val="22"/>
          <w:lang w:val="en-US"/>
        </w:rPr>
        <w:t>Malaguti</w:t>
      </w:r>
      <w:proofErr w:type="spellEnd"/>
      <w:r w:rsidRPr="00474548">
        <w:rPr>
          <w:sz w:val="22"/>
          <w:szCs w:val="22"/>
          <w:lang w:val="en-US"/>
        </w:rPr>
        <w:t>, G.A. (2009),</w:t>
      </w:r>
      <w:r w:rsidR="008353F8" w:rsidRPr="00474548">
        <w:rPr>
          <w:sz w:val="22"/>
          <w:szCs w:val="22"/>
          <w:lang w:val="en-US"/>
        </w:rPr>
        <w:t xml:space="preserve"> </w:t>
      </w:r>
      <w:proofErr w:type="spellStart"/>
      <w:r w:rsidR="008353F8" w:rsidRPr="00474548">
        <w:rPr>
          <w:i/>
          <w:sz w:val="22"/>
          <w:szCs w:val="22"/>
          <w:lang w:val="en-US"/>
        </w:rPr>
        <w:t>Regulação</w:t>
      </w:r>
      <w:proofErr w:type="spellEnd"/>
      <w:r w:rsidR="008353F8" w:rsidRPr="00474548">
        <w:rPr>
          <w:i/>
          <w:sz w:val="22"/>
          <w:szCs w:val="22"/>
          <w:lang w:val="en-US"/>
        </w:rPr>
        <w:t xml:space="preserve"> do </w:t>
      </w:r>
      <w:proofErr w:type="spellStart"/>
      <w:r w:rsidR="008353F8" w:rsidRPr="00474548">
        <w:rPr>
          <w:i/>
          <w:sz w:val="22"/>
          <w:szCs w:val="22"/>
          <w:lang w:val="en-US"/>
        </w:rPr>
        <w:t>setor</w:t>
      </w:r>
      <w:proofErr w:type="spellEnd"/>
      <w:r w:rsidR="008353F8" w:rsidRPr="00474548">
        <w:rPr>
          <w:i/>
          <w:sz w:val="22"/>
          <w:szCs w:val="22"/>
          <w:lang w:val="en-US"/>
        </w:rPr>
        <w:t xml:space="preserve"> </w:t>
      </w:r>
      <w:proofErr w:type="spellStart"/>
      <w:r w:rsidR="008353F8" w:rsidRPr="00474548">
        <w:rPr>
          <w:i/>
          <w:sz w:val="22"/>
          <w:szCs w:val="22"/>
          <w:lang w:val="en-US"/>
        </w:rPr>
        <w:t>elétrico</w:t>
      </w:r>
      <w:proofErr w:type="spellEnd"/>
      <w:r w:rsidR="008353F8" w:rsidRPr="00474548">
        <w:rPr>
          <w:i/>
          <w:sz w:val="22"/>
          <w:szCs w:val="22"/>
          <w:lang w:val="en-US"/>
        </w:rPr>
        <w:t xml:space="preserve"> </w:t>
      </w:r>
      <w:proofErr w:type="spellStart"/>
      <w:r w:rsidR="008353F8" w:rsidRPr="00474548">
        <w:rPr>
          <w:i/>
          <w:sz w:val="22"/>
          <w:szCs w:val="22"/>
          <w:lang w:val="en-US"/>
        </w:rPr>
        <w:t>brasileiro</w:t>
      </w:r>
      <w:proofErr w:type="spellEnd"/>
      <w:r w:rsidR="008353F8" w:rsidRPr="00474548">
        <w:rPr>
          <w:i/>
          <w:sz w:val="22"/>
          <w:szCs w:val="22"/>
          <w:lang w:val="en-US"/>
        </w:rPr>
        <w:t xml:space="preserve">: da </w:t>
      </w:r>
      <w:proofErr w:type="spellStart"/>
      <w:r w:rsidR="008353F8" w:rsidRPr="00474548">
        <w:rPr>
          <w:i/>
          <w:sz w:val="22"/>
          <w:szCs w:val="22"/>
          <w:lang w:val="en-US"/>
        </w:rPr>
        <w:t>formação</w:t>
      </w:r>
      <w:proofErr w:type="spellEnd"/>
      <w:r w:rsidR="008353F8" w:rsidRPr="00474548">
        <w:rPr>
          <w:i/>
          <w:sz w:val="22"/>
          <w:szCs w:val="22"/>
          <w:lang w:val="en-US"/>
        </w:rPr>
        <w:t xml:space="preserve"> da </w:t>
      </w:r>
      <w:proofErr w:type="spellStart"/>
      <w:r w:rsidR="008353F8" w:rsidRPr="00474548">
        <w:rPr>
          <w:i/>
          <w:sz w:val="22"/>
          <w:szCs w:val="22"/>
          <w:lang w:val="en-US"/>
        </w:rPr>
        <w:t>indústria</w:t>
      </w:r>
      <w:proofErr w:type="spellEnd"/>
      <w:r w:rsidR="008353F8" w:rsidRPr="00474548">
        <w:rPr>
          <w:i/>
          <w:sz w:val="22"/>
          <w:szCs w:val="22"/>
          <w:lang w:val="en-US"/>
        </w:rPr>
        <w:t xml:space="preserve"> de </w:t>
      </w:r>
      <w:proofErr w:type="spellStart"/>
      <w:r w:rsidR="008353F8" w:rsidRPr="00474548">
        <w:rPr>
          <w:i/>
          <w:sz w:val="22"/>
          <w:szCs w:val="22"/>
          <w:lang w:val="en-US"/>
        </w:rPr>
        <w:t>energia</w:t>
      </w:r>
      <w:proofErr w:type="spellEnd"/>
      <w:r w:rsidR="008353F8" w:rsidRPr="00474548">
        <w:rPr>
          <w:i/>
          <w:sz w:val="22"/>
          <w:szCs w:val="22"/>
          <w:lang w:val="en-US"/>
        </w:rPr>
        <w:t xml:space="preserve"> </w:t>
      </w:r>
      <w:proofErr w:type="spellStart"/>
      <w:r w:rsidR="008353F8" w:rsidRPr="00474548">
        <w:rPr>
          <w:i/>
          <w:sz w:val="22"/>
          <w:szCs w:val="22"/>
          <w:lang w:val="en-US"/>
        </w:rPr>
        <w:t>elétrica</w:t>
      </w:r>
      <w:proofErr w:type="spellEnd"/>
      <w:r w:rsidR="008353F8" w:rsidRPr="00474548">
        <w:rPr>
          <w:i/>
          <w:sz w:val="22"/>
          <w:szCs w:val="22"/>
          <w:lang w:val="en-US"/>
        </w:rPr>
        <w:t xml:space="preserve"> </w:t>
      </w:r>
      <w:proofErr w:type="spellStart"/>
      <w:r w:rsidR="008353F8" w:rsidRPr="00474548">
        <w:rPr>
          <w:i/>
          <w:sz w:val="22"/>
          <w:szCs w:val="22"/>
          <w:lang w:val="en-US"/>
        </w:rPr>
        <w:t>aos</w:t>
      </w:r>
      <w:proofErr w:type="spellEnd"/>
      <w:r w:rsidR="008353F8" w:rsidRPr="00474548">
        <w:rPr>
          <w:i/>
          <w:sz w:val="22"/>
          <w:szCs w:val="22"/>
          <w:lang w:val="en-US"/>
        </w:rPr>
        <w:t xml:space="preserve"> </w:t>
      </w:r>
      <w:proofErr w:type="spellStart"/>
      <w:proofErr w:type="gramStart"/>
      <w:r w:rsidR="008353F8" w:rsidRPr="00474548">
        <w:rPr>
          <w:i/>
          <w:sz w:val="22"/>
          <w:szCs w:val="22"/>
          <w:lang w:val="en-US"/>
        </w:rPr>
        <w:t>dias</w:t>
      </w:r>
      <w:proofErr w:type="spellEnd"/>
      <w:proofErr w:type="gramEnd"/>
      <w:r w:rsidR="008353F8" w:rsidRPr="00474548">
        <w:rPr>
          <w:i/>
          <w:sz w:val="22"/>
          <w:szCs w:val="22"/>
          <w:lang w:val="en-US"/>
        </w:rPr>
        <w:t xml:space="preserve"> </w:t>
      </w:r>
      <w:proofErr w:type="spellStart"/>
      <w:r w:rsidR="008353F8" w:rsidRPr="00474548">
        <w:rPr>
          <w:i/>
          <w:sz w:val="22"/>
          <w:szCs w:val="22"/>
          <w:lang w:val="en-US"/>
        </w:rPr>
        <w:t>atuais</w:t>
      </w:r>
      <w:proofErr w:type="spellEnd"/>
      <w:r w:rsidR="00732D41" w:rsidRPr="00474548">
        <w:rPr>
          <w:sz w:val="22"/>
          <w:szCs w:val="22"/>
          <w:lang w:val="en-US"/>
        </w:rPr>
        <w:t xml:space="preserve">, </w:t>
      </w:r>
      <w:proofErr w:type="spellStart"/>
      <w:r w:rsidR="00732D41" w:rsidRPr="00474548">
        <w:rPr>
          <w:sz w:val="22"/>
          <w:szCs w:val="22"/>
          <w:lang w:val="en-US"/>
        </w:rPr>
        <w:t>Curso</w:t>
      </w:r>
      <w:proofErr w:type="spellEnd"/>
      <w:r w:rsidR="00732D41" w:rsidRPr="00474548">
        <w:rPr>
          <w:sz w:val="22"/>
          <w:szCs w:val="22"/>
          <w:lang w:val="en-US"/>
        </w:rPr>
        <w:t xml:space="preserve"> de </w:t>
      </w:r>
      <w:proofErr w:type="spellStart"/>
      <w:r w:rsidR="00732D41" w:rsidRPr="00474548">
        <w:rPr>
          <w:sz w:val="22"/>
          <w:szCs w:val="22"/>
          <w:lang w:val="en-US"/>
        </w:rPr>
        <w:t>Economia</w:t>
      </w:r>
      <w:proofErr w:type="spellEnd"/>
      <w:r w:rsidR="00732D41" w:rsidRPr="00474548">
        <w:rPr>
          <w:sz w:val="22"/>
          <w:szCs w:val="22"/>
          <w:lang w:val="en-US"/>
        </w:rPr>
        <w:t>,</w:t>
      </w:r>
      <w:r w:rsidR="008353F8" w:rsidRPr="00474548">
        <w:rPr>
          <w:sz w:val="22"/>
          <w:szCs w:val="22"/>
          <w:lang w:val="en-US"/>
        </w:rPr>
        <w:t xml:space="preserve"> Universidade Federal </w:t>
      </w:r>
      <w:proofErr w:type="spellStart"/>
      <w:r w:rsidR="008353F8" w:rsidRPr="00474548">
        <w:rPr>
          <w:sz w:val="22"/>
          <w:szCs w:val="22"/>
          <w:lang w:val="en-US"/>
        </w:rPr>
        <w:t>Fluminense</w:t>
      </w:r>
      <w:proofErr w:type="spellEnd"/>
      <w:r w:rsidR="008353F8" w:rsidRPr="00474548">
        <w:rPr>
          <w:sz w:val="22"/>
          <w:szCs w:val="22"/>
          <w:lang w:val="en-US"/>
        </w:rPr>
        <w:t xml:space="preserve">, </w:t>
      </w:r>
      <w:proofErr w:type="spellStart"/>
      <w:r w:rsidR="008353F8" w:rsidRPr="00474548">
        <w:rPr>
          <w:sz w:val="22"/>
          <w:szCs w:val="22"/>
          <w:lang w:val="en-US"/>
        </w:rPr>
        <w:t>Texto</w:t>
      </w:r>
      <w:proofErr w:type="spellEnd"/>
      <w:r w:rsidR="008353F8" w:rsidRPr="00474548">
        <w:rPr>
          <w:sz w:val="22"/>
          <w:szCs w:val="22"/>
          <w:lang w:val="en-US"/>
        </w:rPr>
        <w:t xml:space="preserve"> </w:t>
      </w:r>
      <w:proofErr w:type="spellStart"/>
      <w:r w:rsidR="008353F8" w:rsidRPr="00474548">
        <w:rPr>
          <w:sz w:val="22"/>
          <w:szCs w:val="22"/>
          <w:lang w:val="en-US"/>
        </w:rPr>
        <w:t>para</w:t>
      </w:r>
      <w:proofErr w:type="spellEnd"/>
      <w:r w:rsidR="008353F8" w:rsidRPr="00474548">
        <w:rPr>
          <w:sz w:val="22"/>
          <w:szCs w:val="22"/>
          <w:lang w:val="en-US"/>
        </w:rPr>
        <w:t xml:space="preserve"> </w:t>
      </w:r>
      <w:proofErr w:type="spellStart"/>
      <w:r w:rsidR="008353F8" w:rsidRPr="00474548">
        <w:rPr>
          <w:sz w:val="22"/>
          <w:szCs w:val="22"/>
          <w:lang w:val="en-US"/>
        </w:rPr>
        <w:t>Discussão</w:t>
      </w:r>
      <w:proofErr w:type="spellEnd"/>
      <w:r w:rsidR="008353F8" w:rsidRPr="00474548">
        <w:rPr>
          <w:sz w:val="22"/>
          <w:szCs w:val="22"/>
          <w:lang w:val="en-US"/>
        </w:rPr>
        <w:t xml:space="preserve"> 254.</w:t>
      </w:r>
    </w:p>
    <w:p w14:paraId="68778BE5" w14:textId="561F64B7" w:rsidR="008353F8" w:rsidRPr="00474548" w:rsidRDefault="006813F2" w:rsidP="005D1E75">
      <w:pPr>
        <w:ind w:left="720" w:hanging="720"/>
        <w:jc w:val="both"/>
        <w:rPr>
          <w:rFonts w:eastAsia="Calibri"/>
          <w:sz w:val="22"/>
          <w:szCs w:val="22"/>
          <w:lang w:val="en-US" w:eastAsia="en-US"/>
        </w:rPr>
      </w:pPr>
      <w:r w:rsidRPr="00474548">
        <w:rPr>
          <w:rFonts w:eastAsia="Calibri"/>
          <w:sz w:val="22"/>
          <w:szCs w:val="22"/>
          <w:lang w:val="en-US" w:eastAsia="en-US"/>
        </w:rPr>
        <w:t xml:space="preserve">Markowitz, H. (1952), </w:t>
      </w:r>
      <w:r w:rsidRPr="00474548">
        <w:rPr>
          <w:rFonts w:eastAsia="Calibri"/>
          <w:i/>
          <w:sz w:val="22"/>
          <w:szCs w:val="22"/>
          <w:lang w:val="en-US" w:eastAsia="en-US"/>
        </w:rPr>
        <w:t>Portfolio selection</w:t>
      </w:r>
      <w:r w:rsidRPr="00474548">
        <w:rPr>
          <w:rFonts w:eastAsia="Calibri"/>
          <w:sz w:val="22"/>
          <w:szCs w:val="22"/>
          <w:lang w:val="en-US" w:eastAsia="en-US"/>
        </w:rPr>
        <w:t>, The Journal of Finance. 7</w:t>
      </w:r>
      <w:r w:rsidR="008353F8" w:rsidRPr="00474548">
        <w:rPr>
          <w:rFonts w:eastAsia="Calibri"/>
          <w:sz w:val="22"/>
          <w:szCs w:val="22"/>
          <w:lang w:val="en-US" w:eastAsia="en-US"/>
        </w:rPr>
        <w:t>(1), 77-91.</w:t>
      </w:r>
    </w:p>
    <w:p w14:paraId="4D3EC78D" w14:textId="4920100C" w:rsidR="008353F8" w:rsidRPr="00474548" w:rsidRDefault="006813F2" w:rsidP="005D1E75">
      <w:pPr>
        <w:ind w:left="720" w:hanging="720"/>
        <w:jc w:val="both"/>
        <w:rPr>
          <w:rFonts w:eastAsia="Times New Roman"/>
          <w:kern w:val="0"/>
          <w:sz w:val="22"/>
          <w:szCs w:val="22"/>
          <w:lang w:val="en-US"/>
        </w:rPr>
      </w:pPr>
      <w:proofErr w:type="spellStart"/>
      <w:r w:rsidRPr="00474548">
        <w:rPr>
          <w:rFonts w:eastAsia="Times New Roman"/>
          <w:kern w:val="0"/>
          <w:sz w:val="22"/>
          <w:szCs w:val="22"/>
          <w:lang w:val="en-US"/>
        </w:rPr>
        <w:t>Morais</w:t>
      </w:r>
      <w:proofErr w:type="spellEnd"/>
      <w:r w:rsidRPr="00474548">
        <w:rPr>
          <w:rFonts w:eastAsia="Times New Roman"/>
          <w:kern w:val="0"/>
          <w:sz w:val="22"/>
          <w:szCs w:val="22"/>
          <w:lang w:val="en-US"/>
        </w:rPr>
        <w:t>, I.A.C. (2003),</w:t>
      </w:r>
      <w:r w:rsidR="008353F8" w:rsidRPr="00474548">
        <w:rPr>
          <w:rFonts w:eastAsia="Times New Roman"/>
          <w:kern w:val="0"/>
          <w:sz w:val="22"/>
          <w:szCs w:val="22"/>
          <w:lang w:val="en-US"/>
        </w:rPr>
        <w:t xml:space="preserve"> </w:t>
      </w:r>
      <w:proofErr w:type="spellStart"/>
      <w:r w:rsidR="008353F8" w:rsidRPr="00474548">
        <w:rPr>
          <w:rFonts w:eastAsia="Times New Roman"/>
          <w:i/>
          <w:kern w:val="0"/>
          <w:sz w:val="22"/>
          <w:szCs w:val="22"/>
          <w:lang w:val="en-US"/>
        </w:rPr>
        <w:t>Mudança</w:t>
      </w:r>
      <w:proofErr w:type="spellEnd"/>
      <w:r w:rsidR="008353F8" w:rsidRPr="00474548">
        <w:rPr>
          <w:rFonts w:eastAsia="Times New Roman"/>
          <w:i/>
          <w:kern w:val="0"/>
          <w:sz w:val="22"/>
          <w:szCs w:val="22"/>
          <w:lang w:val="en-US"/>
        </w:rPr>
        <w:t xml:space="preserve"> de Regimes </w:t>
      </w:r>
      <w:proofErr w:type="spellStart"/>
      <w:r w:rsidR="008353F8" w:rsidRPr="00474548">
        <w:rPr>
          <w:rFonts w:eastAsia="Times New Roman"/>
          <w:i/>
          <w:kern w:val="0"/>
          <w:sz w:val="22"/>
          <w:szCs w:val="22"/>
          <w:lang w:val="en-US"/>
        </w:rPr>
        <w:t>Markoviano</w:t>
      </w:r>
      <w:proofErr w:type="spellEnd"/>
      <w:r w:rsidR="008353F8" w:rsidRPr="00474548">
        <w:rPr>
          <w:rFonts w:eastAsia="Times New Roman"/>
          <w:i/>
          <w:kern w:val="0"/>
          <w:sz w:val="22"/>
          <w:szCs w:val="22"/>
          <w:lang w:val="en-US"/>
        </w:rPr>
        <w:t xml:space="preserve">: </w:t>
      </w:r>
      <w:proofErr w:type="spellStart"/>
      <w:r w:rsidR="008353F8" w:rsidRPr="00474548">
        <w:rPr>
          <w:rFonts w:eastAsia="Times New Roman"/>
          <w:i/>
          <w:kern w:val="0"/>
          <w:sz w:val="22"/>
          <w:szCs w:val="22"/>
          <w:lang w:val="en-US"/>
        </w:rPr>
        <w:t>uma</w:t>
      </w:r>
      <w:proofErr w:type="spellEnd"/>
      <w:r w:rsidR="008353F8" w:rsidRPr="00474548">
        <w:rPr>
          <w:rFonts w:eastAsia="Times New Roman"/>
          <w:i/>
          <w:kern w:val="0"/>
          <w:sz w:val="22"/>
          <w:szCs w:val="22"/>
          <w:lang w:val="en-US"/>
        </w:rPr>
        <w:t xml:space="preserve"> </w:t>
      </w:r>
      <w:proofErr w:type="spellStart"/>
      <w:r w:rsidR="008353F8" w:rsidRPr="00474548">
        <w:rPr>
          <w:rFonts w:eastAsia="Times New Roman"/>
          <w:i/>
          <w:kern w:val="0"/>
          <w:sz w:val="22"/>
          <w:szCs w:val="22"/>
          <w:lang w:val="en-US"/>
        </w:rPr>
        <w:t>aplicação</w:t>
      </w:r>
      <w:proofErr w:type="spellEnd"/>
      <w:r w:rsidR="008353F8" w:rsidRPr="00474548">
        <w:rPr>
          <w:rFonts w:eastAsia="Times New Roman"/>
          <w:i/>
          <w:kern w:val="0"/>
          <w:sz w:val="22"/>
          <w:szCs w:val="22"/>
          <w:lang w:val="en-US"/>
        </w:rPr>
        <w:t xml:space="preserve"> a </w:t>
      </w:r>
      <w:proofErr w:type="spellStart"/>
      <w:r w:rsidR="008353F8" w:rsidRPr="00474548">
        <w:rPr>
          <w:rFonts w:eastAsia="Times New Roman"/>
          <w:i/>
          <w:kern w:val="0"/>
          <w:sz w:val="22"/>
          <w:szCs w:val="22"/>
          <w:lang w:val="en-US"/>
        </w:rPr>
        <w:t>séries</w:t>
      </w:r>
      <w:proofErr w:type="spellEnd"/>
      <w:r w:rsidR="008353F8" w:rsidRPr="00474548">
        <w:rPr>
          <w:rFonts w:eastAsia="Times New Roman"/>
          <w:i/>
          <w:kern w:val="0"/>
          <w:sz w:val="22"/>
          <w:szCs w:val="22"/>
          <w:lang w:val="en-US"/>
        </w:rPr>
        <w:t xml:space="preserve"> </w:t>
      </w:r>
      <w:proofErr w:type="spellStart"/>
      <w:r w:rsidR="008353F8" w:rsidRPr="00474548">
        <w:rPr>
          <w:rFonts w:eastAsia="Times New Roman"/>
          <w:i/>
          <w:kern w:val="0"/>
          <w:sz w:val="22"/>
          <w:szCs w:val="22"/>
          <w:lang w:val="en-US"/>
        </w:rPr>
        <w:t>econômicas</w:t>
      </w:r>
      <w:proofErr w:type="spellEnd"/>
      <w:r w:rsidR="008353F8" w:rsidRPr="00474548">
        <w:rPr>
          <w:rFonts w:eastAsia="Times New Roman"/>
          <w:i/>
          <w:kern w:val="0"/>
          <w:sz w:val="22"/>
          <w:szCs w:val="22"/>
          <w:lang w:val="en-US"/>
        </w:rPr>
        <w:t xml:space="preserve"> </w:t>
      </w:r>
      <w:proofErr w:type="spellStart"/>
      <w:r w:rsidR="008353F8" w:rsidRPr="00474548">
        <w:rPr>
          <w:rFonts w:eastAsia="Times New Roman"/>
          <w:i/>
          <w:kern w:val="0"/>
          <w:sz w:val="22"/>
          <w:szCs w:val="22"/>
          <w:lang w:val="en-US"/>
        </w:rPr>
        <w:t>brasileiras</w:t>
      </w:r>
      <w:proofErr w:type="spellEnd"/>
      <w:r w:rsidR="00732D41" w:rsidRPr="00474548">
        <w:rPr>
          <w:rFonts w:eastAsia="Times New Roman"/>
          <w:kern w:val="0"/>
          <w:sz w:val="22"/>
          <w:szCs w:val="22"/>
          <w:lang w:val="en-US"/>
        </w:rPr>
        <w:t>,</w:t>
      </w:r>
      <w:r w:rsidR="008353F8" w:rsidRPr="00474548">
        <w:rPr>
          <w:rFonts w:eastAsia="Times New Roman"/>
          <w:kern w:val="0"/>
          <w:sz w:val="22"/>
          <w:szCs w:val="22"/>
          <w:lang w:val="en-US"/>
        </w:rPr>
        <w:t xml:space="preserve"> 166 </w:t>
      </w:r>
      <w:r w:rsidRPr="00474548">
        <w:rPr>
          <w:rFonts w:eastAsia="Times New Roman"/>
          <w:kern w:val="0"/>
          <w:sz w:val="22"/>
          <w:szCs w:val="22"/>
          <w:lang w:val="en-US"/>
        </w:rPr>
        <w:t xml:space="preserve">f. </w:t>
      </w:r>
      <w:proofErr w:type="spellStart"/>
      <w:r w:rsidRPr="00474548">
        <w:rPr>
          <w:rFonts w:eastAsia="Times New Roman"/>
          <w:kern w:val="0"/>
          <w:sz w:val="22"/>
          <w:szCs w:val="22"/>
          <w:lang w:val="en-US"/>
        </w:rPr>
        <w:t>Tese</w:t>
      </w:r>
      <w:proofErr w:type="spellEnd"/>
      <w:r w:rsidRPr="00474548">
        <w:rPr>
          <w:rFonts w:eastAsia="Times New Roman"/>
          <w:kern w:val="0"/>
          <w:sz w:val="22"/>
          <w:szCs w:val="22"/>
          <w:lang w:val="en-US"/>
        </w:rPr>
        <w:t xml:space="preserve"> (</w:t>
      </w:r>
      <w:proofErr w:type="spellStart"/>
      <w:r w:rsidRPr="00474548">
        <w:rPr>
          <w:rFonts w:eastAsia="Times New Roman"/>
          <w:kern w:val="0"/>
          <w:sz w:val="22"/>
          <w:szCs w:val="22"/>
          <w:lang w:val="en-US"/>
        </w:rPr>
        <w:t>Doutorado</w:t>
      </w:r>
      <w:proofErr w:type="spellEnd"/>
      <w:r w:rsidRPr="00474548">
        <w:rPr>
          <w:rFonts w:eastAsia="Times New Roman"/>
          <w:kern w:val="0"/>
          <w:sz w:val="22"/>
          <w:szCs w:val="22"/>
          <w:lang w:val="en-US"/>
        </w:rPr>
        <w:t xml:space="preserve"> em </w:t>
      </w:r>
      <w:proofErr w:type="spellStart"/>
      <w:r w:rsidRPr="00474548">
        <w:rPr>
          <w:rFonts w:eastAsia="Times New Roman"/>
          <w:kern w:val="0"/>
          <w:sz w:val="22"/>
          <w:szCs w:val="22"/>
          <w:lang w:val="en-US"/>
        </w:rPr>
        <w:t>Economia</w:t>
      </w:r>
      <w:proofErr w:type="spellEnd"/>
      <w:r w:rsidRPr="00474548">
        <w:rPr>
          <w:rFonts w:eastAsia="Times New Roman"/>
          <w:kern w:val="0"/>
          <w:sz w:val="22"/>
          <w:szCs w:val="22"/>
          <w:lang w:val="en-US"/>
        </w:rPr>
        <w:t xml:space="preserve">), </w:t>
      </w:r>
      <w:proofErr w:type="spellStart"/>
      <w:r w:rsidR="008353F8" w:rsidRPr="00474548">
        <w:rPr>
          <w:color w:val="000000"/>
          <w:sz w:val="22"/>
          <w:szCs w:val="22"/>
          <w:shd w:val="clear" w:color="auto" w:fill="FFFFFF"/>
          <w:lang w:val="en-US"/>
        </w:rPr>
        <w:t>Programa</w:t>
      </w:r>
      <w:proofErr w:type="spellEnd"/>
      <w:r w:rsidR="008353F8" w:rsidRPr="00474548">
        <w:rPr>
          <w:color w:val="000000"/>
          <w:sz w:val="22"/>
          <w:szCs w:val="22"/>
          <w:shd w:val="clear" w:color="auto" w:fill="FFFFFF"/>
          <w:lang w:val="en-US"/>
        </w:rPr>
        <w:t xml:space="preserve"> de </w:t>
      </w:r>
      <w:proofErr w:type="spellStart"/>
      <w:r w:rsidR="008353F8" w:rsidRPr="00474548">
        <w:rPr>
          <w:color w:val="000000"/>
          <w:sz w:val="22"/>
          <w:szCs w:val="22"/>
          <w:shd w:val="clear" w:color="auto" w:fill="FFFFFF"/>
          <w:lang w:val="en-US"/>
        </w:rPr>
        <w:t>Pós-Graduação</w:t>
      </w:r>
      <w:proofErr w:type="spellEnd"/>
      <w:r w:rsidR="008353F8" w:rsidRPr="00474548">
        <w:rPr>
          <w:color w:val="000000"/>
          <w:sz w:val="22"/>
          <w:szCs w:val="22"/>
          <w:shd w:val="clear" w:color="auto" w:fill="FFFFFF"/>
          <w:lang w:val="en-US"/>
        </w:rPr>
        <w:t xml:space="preserve"> em </w:t>
      </w:r>
      <w:proofErr w:type="spellStart"/>
      <w:r w:rsidR="008353F8" w:rsidRPr="00474548">
        <w:rPr>
          <w:color w:val="000000"/>
          <w:sz w:val="22"/>
          <w:szCs w:val="22"/>
          <w:shd w:val="clear" w:color="auto" w:fill="FFFFFF"/>
          <w:lang w:val="en-US"/>
        </w:rPr>
        <w:t>Economia</w:t>
      </w:r>
      <w:proofErr w:type="spellEnd"/>
      <w:r w:rsidRPr="00474548">
        <w:rPr>
          <w:rFonts w:eastAsia="Times New Roman"/>
          <w:kern w:val="0"/>
          <w:sz w:val="22"/>
          <w:szCs w:val="22"/>
          <w:lang w:val="en-US"/>
        </w:rPr>
        <w:t xml:space="preserve">, </w:t>
      </w:r>
      <w:r w:rsidR="008353F8" w:rsidRPr="00474548">
        <w:rPr>
          <w:rFonts w:eastAsia="Times New Roman"/>
          <w:kern w:val="0"/>
          <w:sz w:val="22"/>
          <w:szCs w:val="22"/>
          <w:lang w:val="en-US"/>
        </w:rPr>
        <w:t xml:space="preserve">Universidade Federal do </w:t>
      </w:r>
      <w:r w:rsidRPr="00474548">
        <w:rPr>
          <w:rFonts w:eastAsia="Times New Roman"/>
          <w:kern w:val="0"/>
          <w:sz w:val="22"/>
          <w:szCs w:val="22"/>
          <w:lang w:val="en-US"/>
        </w:rPr>
        <w:t xml:space="preserve">Rio Grande do </w:t>
      </w:r>
      <w:proofErr w:type="spellStart"/>
      <w:r w:rsidRPr="00474548">
        <w:rPr>
          <w:rFonts w:eastAsia="Times New Roman"/>
          <w:kern w:val="0"/>
          <w:sz w:val="22"/>
          <w:szCs w:val="22"/>
          <w:lang w:val="en-US"/>
        </w:rPr>
        <w:t>Sul</w:t>
      </w:r>
      <w:proofErr w:type="spellEnd"/>
      <w:r w:rsidRPr="00474548">
        <w:rPr>
          <w:rFonts w:eastAsia="Times New Roman"/>
          <w:kern w:val="0"/>
          <w:sz w:val="22"/>
          <w:szCs w:val="22"/>
          <w:lang w:val="en-US"/>
        </w:rPr>
        <w:t xml:space="preserve">, Porto </w:t>
      </w:r>
      <w:proofErr w:type="spellStart"/>
      <w:r w:rsidRPr="00474548">
        <w:rPr>
          <w:rFonts w:eastAsia="Times New Roman"/>
          <w:kern w:val="0"/>
          <w:sz w:val="22"/>
          <w:szCs w:val="22"/>
          <w:lang w:val="en-US"/>
        </w:rPr>
        <w:t>Alegre</w:t>
      </w:r>
      <w:proofErr w:type="spellEnd"/>
      <w:r w:rsidRPr="00474548">
        <w:rPr>
          <w:rFonts w:eastAsia="Times New Roman"/>
          <w:kern w:val="0"/>
          <w:sz w:val="22"/>
          <w:szCs w:val="22"/>
          <w:lang w:val="en-US"/>
        </w:rPr>
        <w:t>, Brazil.</w:t>
      </w:r>
    </w:p>
    <w:p w14:paraId="7C7A539F" w14:textId="71F98D3F" w:rsidR="008353F8" w:rsidRPr="00474548" w:rsidRDefault="00732D41" w:rsidP="005D1E75">
      <w:pPr>
        <w:ind w:left="720" w:hanging="720"/>
        <w:jc w:val="both"/>
        <w:rPr>
          <w:rFonts w:eastAsiaTheme="minorEastAsia"/>
          <w:color w:val="1A1A1A"/>
          <w:kern w:val="0"/>
          <w:sz w:val="22"/>
          <w:szCs w:val="22"/>
          <w:lang w:val="en-US" w:eastAsia="en-US"/>
        </w:rPr>
      </w:pPr>
      <w:r w:rsidRPr="00474548">
        <w:rPr>
          <w:rFonts w:eastAsiaTheme="minorEastAsia"/>
          <w:color w:val="1A1A1A"/>
          <w:kern w:val="0"/>
          <w:sz w:val="22"/>
          <w:szCs w:val="22"/>
          <w:lang w:val="en-US" w:eastAsia="en-US"/>
        </w:rPr>
        <w:t xml:space="preserve">OECD. (2014), </w:t>
      </w:r>
      <w:r w:rsidR="008353F8" w:rsidRPr="00474548">
        <w:rPr>
          <w:rFonts w:eastAsiaTheme="minorEastAsia"/>
          <w:i/>
          <w:color w:val="1A1A1A"/>
          <w:kern w:val="0"/>
          <w:sz w:val="22"/>
          <w:szCs w:val="22"/>
          <w:lang w:val="en-US" w:eastAsia="en-US"/>
        </w:rPr>
        <w:t>Organization for Economic Co-operation and Development</w:t>
      </w:r>
      <w:r w:rsidRPr="00474548">
        <w:rPr>
          <w:rFonts w:eastAsiaTheme="minorEastAsia"/>
          <w:color w:val="1A1A1A"/>
          <w:kern w:val="0"/>
          <w:sz w:val="22"/>
          <w:szCs w:val="22"/>
          <w:lang w:val="en-US" w:eastAsia="en-US"/>
        </w:rPr>
        <w:t xml:space="preserve">, </w:t>
      </w:r>
      <w:proofErr w:type="spellStart"/>
      <w:r w:rsidR="008353F8" w:rsidRPr="00474548">
        <w:rPr>
          <w:rFonts w:eastAsiaTheme="minorEastAsia"/>
          <w:color w:val="1A1A1A"/>
          <w:kern w:val="0"/>
          <w:sz w:val="22"/>
          <w:szCs w:val="22"/>
          <w:lang w:val="en-US" w:eastAsia="en-US"/>
        </w:rPr>
        <w:t>Disponível</w:t>
      </w:r>
      <w:proofErr w:type="spellEnd"/>
      <w:r w:rsidR="008353F8" w:rsidRPr="00474548">
        <w:rPr>
          <w:rFonts w:eastAsiaTheme="minorEastAsia"/>
          <w:color w:val="1A1A1A"/>
          <w:kern w:val="0"/>
          <w:sz w:val="22"/>
          <w:szCs w:val="22"/>
          <w:lang w:val="en-US" w:eastAsia="en-US"/>
        </w:rPr>
        <w:t xml:space="preserve"> em: </w:t>
      </w:r>
      <w:hyperlink r:id="rId22" w:history="1">
        <w:r w:rsidR="008353F8" w:rsidRPr="00474548">
          <w:rPr>
            <w:rStyle w:val="Hyperlink"/>
            <w:rFonts w:eastAsiaTheme="minorEastAsia"/>
            <w:kern w:val="0"/>
            <w:sz w:val="22"/>
            <w:szCs w:val="22"/>
            <w:lang w:val="en-US" w:eastAsia="en-US"/>
          </w:rPr>
          <w:t>http://www.oecd.org/</w:t>
        </w:r>
      </w:hyperlink>
      <w:r w:rsidR="008353F8" w:rsidRPr="00474548">
        <w:rPr>
          <w:rFonts w:eastAsiaTheme="minorEastAsia"/>
          <w:color w:val="1A1A1A"/>
          <w:kern w:val="0"/>
          <w:sz w:val="22"/>
          <w:szCs w:val="22"/>
          <w:lang w:val="en-US" w:eastAsia="en-US"/>
        </w:rPr>
        <w:t xml:space="preserve">. </w:t>
      </w:r>
      <w:proofErr w:type="spellStart"/>
      <w:r w:rsidR="008353F8" w:rsidRPr="00474548">
        <w:rPr>
          <w:rFonts w:eastAsiaTheme="minorEastAsia"/>
          <w:color w:val="1A1A1A"/>
          <w:kern w:val="0"/>
          <w:sz w:val="22"/>
          <w:szCs w:val="22"/>
          <w:lang w:val="en-US" w:eastAsia="en-US"/>
        </w:rPr>
        <w:t>Acesso</w:t>
      </w:r>
      <w:proofErr w:type="spellEnd"/>
      <w:r w:rsidR="008353F8" w:rsidRPr="00474548">
        <w:rPr>
          <w:rFonts w:eastAsiaTheme="minorEastAsia"/>
          <w:color w:val="1A1A1A"/>
          <w:kern w:val="0"/>
          <w:sz w:val="22"/>
          <w:szCs w:val="22"/>
          <w:lang w:val="en-US" w:eastAsia="en-US"/>
        </w:rPr>
        <w:t xml:space="preserve"> em 21 de </w:t>
      </w:r>
      <w:proofErr w:type="spellStart"/>
      <w:r w:rsidR="00FC2E66" w:rsidRPr="00474548">
        <w:rPr>
          <w:rFonts w:eastAsiaTheme="minorEastAsia"/>
          <w:color w:val="1A1A1A"/>
          <w:kern w:val="0"/>
          <w:sz w:val="22"/>
          <w:szCs w:val="22"/>
          <w:lang w:val="en-US" w:eastAsia="en-US"/>
        </w:rPr>
        <w:t>N</w:t>
      </w:r>
      <w:r w:rsidR="008353F8" w:rsidRPr="00474548">
        <w:rPr>
          <w:rFonts w:eastAsiaTheme="minorEastAsia"/>
          <w:color w:val="1A1A1A"/>
          <w:kern w:val="0"/>
          <w:sz w:val="22"/>
          <w:szCs w:val="22"/>
          <w:lang w:val="en-US" w:eastAsia="en-US"/>
        </w:rPr>
        <w:t>ovembro</w:t>
      </w:r>
      <w:proofErr w:type="spellEnd"/>
      <w:r w:rsidR="008353F8" w:rsidRPr="00474548">
        <w:rPr>
          <w:rFonts w:eastAsiaTheme="minorEastAsia"/>
          <w:color w:val="1A1A1A"/>
          <w:kern w:val="0"/>
          <w:sz w:val="22"/>
          <w:szCs w:val="22"/>
          <w:lang w:val="en-US" w:eastAsia="en-US"/>
        </w:rPr>
        <w:t xml:space="preserve"> de 2014.</w:t>
      </w:r>
    </w:p>
    <w:p w14:paraId="7BE6EE13" w14:textId="33D2486E" w:rsidR="008353F8" w:rsidRPr="00474548" w:rsidRDefault="006813F2" w:rsidP="005D1E75">
      <w:pPr>
        <w:widowControl/>
        <w:suppressAutoHyphens w:val="0"/>
        <w:ind w:left="720" w:hanging="720"/>
        <w:jc w:val="both"/>
        <w:rPr>
          <w:rFonts w:eastAsiaTheme="minorEastAsia"/>
          <w:kern w:val="0"/>
          <w:sz w:val="22"/>
          <w:szCs w:val="22"/>
          <w:lang w:val="en-US" w:eastAsia="en-US"/>
        </w:rPr>
      </w:pPr>
      <w:r w:rsidRPr="00474548">
        <w:rPr>
          <w:rFonts w:eastAsiaTheme="minorEastAsia"/>
          <w:kern w:val="0"/>
          <w:sz w:val="22"/>
          <w:szCs w:val="22"/>
          <w:lang w:val="en-US" w:eastAsia="en-US"/>
        </w:rPr>
        <w:t xml:space="preserve">Porter, M.E. </w:t>
      </w:r>
      <w:r w:rsidR="00732D41" w:rsidRPr="00474548">
        <w:rPr>
          <w:rFonts w:eastAsiaTheme="minorEastAsia"/>
          <w:kern w:val="0"/>
          <w:sz w:val="22"/>
          <w:szCs w:val="22"/>
          <w:lang w:val="en-US" w:eastAsia="en-US"/>
        </w:rPr>
        <w:t>(2000),</w:t>
      </w:r>
      <w:r w:rsidR="008353F8" w:rsidRPr="00474548">
        <w:rPr>
          <w:rFonts w:eastAsiaTheme="minorEastAsia"/>
          <w:kern w:val="0"/>
          <w:sz w:val="22"/>
          <w:szCs w:val="22"/>
          <w:lang w:val="en-US" w:eastAsia="en-US"/>
        </w:rPr>
        <w:t xml:space="preserve"> </w:t>
      </w:r>
      <w:r w:rsidR="008353F8" w:rsidRPr="00474548">
        <w:rPr>
          <w:rFonts w:eastAsiaTheme="minorEastAsia"/>
          <w:i/>
          <w:kern w:val="0"/>
          <w:sz w:val="22"/>
          <w:szCs w:val="22"/>
          <w:lang w:val="en-US" w:eastAsia="en-US"/>
        </w:rPr>
        <w:t>Locational, Competition, and Economic Development: Loca</w:t>
      </w:r>
      <w:r w:rsidRPr="00474548">
        <w:rPr>
          <w:rFonts w:eastAsiaTheme="minorEastAsia"/>
          <w:i/>
          <w:kern w:val="0"/>
          <w:sz w:val="22"/>
          <w:szCs w:val="22"/>
          <w:lang w:val="en-US" w:eastAsia="en-US"/>
        </w:rPr>
        <w:t>l Clusters in a Global Economy</w:t>
      </w:r>
      <w:r w:rsidRPr="00474548">
        <w:rPr>
          <w:rFonts w:eastAsiaTheme="minorEastAsia"/>
          <w:kern w:val="0"/>
          <w:sz w:val="22"/>
          <w:szCs w:val="22"/>
          <w:lang w:val="en-US" w:eastAsia="en-US"/>
        </w:rPr>
        <w:t xml:space="preserve">, </w:t>
      </w:r>
      <w:r w:rsidR="008353F8" w:rsidRPr="00474548">
        <w:rPr>
          <w:rFonts w:eastAsiaTheme="minorEastAsia"/>
          <w:kern w:val="0"/>
          <w:sz w:val="22"/>
          <w:szCs w:val="22"/>
          <w:lang w:val="en-US" w:eastAsia="en-US"/>
        </w:rPr>
        <w:t>Economic Development Quarte</w:t>
      </w:r>
      <w:r w:rsidR="00FC2E66" w:rsidRPr="00474548">
        <w:rPr>
          <w:rFonts w:eastAsiaTheme="minorEastAsia"/>
          <w:kern w:val="0"/>
          <w:sz w:val="22"/>
          <w:szCs w:val="22"/>
          <w:lang w:val="en-US" w:eastAsia="en-US"/>
        </w:rPr>
        <w:t>r</w:t>
      </w:r>
      <w:r w:rsidRPr="00474548">
        <w:rPr>
          <w:rFonts w:eastAsiaTheme="minorEastAsia"/>
          <w:kern w:val="0"/>
          <w:sz w:val="22"/>
          <w:szCs w:val="22"/>
          <w:lang w:val="en-US" w:eastAsia="en-US"/>
        </w:rPr>
        <w:t>ly, 14</w:t>
      </w:r>
      <w:r w:rsidR="008353F8" w:rsidRPr="00474548">
        <w:rPr>
          <w:rFonts w:eastAsiaTheme="minorEastAsia"/>
          <w:kern w:val="0"/>
          <w:sz w:val="22"/>
          <w:szCs w:val="22"/>
          <w:lang w:val="en-US" w:eastAsia="en-US"/>
        </w:rPr>
        <w:t xml:space="preserve">(1), 15- 34. </w:t>
      </w:r>
    </w:p>
    <w:p w14:paraId="65483DB8" w14:textId="45E3FE00" w:rsidR="008353F8" w:rsidRPr="00474548" w:rsidRDefault="008353F8" w:rsidP="005D1E75">
      <w:pPr>
        <w:ind w:left="720" w:hanging="720"/>
        <w:jc w:val="both"/>
        <w:rPr>
          <w:rFonts w:eastAsia="Times New Roman"/>
          <w:color w:val="000000" w:themeColor="text1"/>
          <w:kern w:val="0"/>
          <w:sz w:val="22"/>
          <w:szCs w:val="22"/>
          <w:lang w:val="en-US"/>
        </w:rPr>
      </w:pPr>
      <w:proofErr w:type="spellStart"/>
      <w:r w:rsidRPr="00474548">
        <w:rPr>
          <w:rFonts w:eastAsiaTheme="minorEastAsia"/>
          <w:bCs/>
          <w:color w:val="000000" w:themeColor="text1"/>
          <w:kern w:val="0"/>
          <w:sz w:val="22"/>
          <w:szCs w:val="22"/>
          <w:lang w:val="en-US" w:eastAsia="en-US"/>
        </w:rPr>
        <w:t>Pottmaier</w:t>
      </w:r>
      <w:proofErr w:type="spellEnd"/>
      <w:r w:rsidRPr="00474548">
        <w:rPr>
          <w:rFonts w:eastAsiaTheme="minorEastAsia"/>
          <w:bCs/>
          <w:color w:val="000000" w:themeColor="text1"/>
          <w:kern w:val="0"/>
          <w:sz w:val="22"/>
          <w:szCs w:val="22"/>
          <w:lang w:val="en-US" w:eastAsia="en-US"/>
        </w:rPr>
        <w:t>, D.</w:t>
      </w:r>
      <w:r w:rsidR="006813F2" w:rsidRPr="00474548">
        <w:rPr>
          <w:rFonts w:eastAsiaTheme="minorEastAsia"/>
          <w:color w:val="000000" w:themeColor="text1"/>
          <w:kern w:val="0"/>
          <w:sz w:val="22"/>
          <w:szCs w:val="22"/>
          <w:lang w:val="en-US" w:eastAsia="en-US"/>
        </w:rPr>
        <w:t xml:space="preserve">, </w:t>
      </w:r>
      <w:proofErr w:type="spellStart"/>
      <w:r w:rsidR="006813F2" w:rsidRPr="00474548">
        <w:rPr>
          <w:rFonts w:eastAsiaTheme="minorEastAsia"/>
          <w:color w:val="000000" w:themeColor="text1"/>
          <w:kern w:val="0"/>
          <w:sz w:val="22"/>
          <w:szCs w:val="22"/>
          <w:lang w:val="en-US" w:eastAsia="en-US"/>
        </w:rPr>
        <w:t>Melo</w:t>
      </w:r>
      <w:proofErr w:type="spellEnd"/>
      <w:r w:rsidR="006813F2" w:rsidRPr="00474548">
        <w:rPr>
          <w:rFonts w:eastAsiaTheme="minorEastAsia"/>
          <w:color w:val="000000" w:themeColor="text1"/>
          <w:kern w:val="0"/>
          <w:sz w:val="22"/>
          <w:szCs w:val="22"/>
          <w:lang w:val="en-US" w:eastAsia="en-US"/>
        </w:rPr>
        <w:t xml:space="preserve">, C.R., Sartor, M.N., </w:t>
      </w:r>
      <w:proofErr w:type="spellStart"/>
      <w:r w:rsidR="006813F2" w:rsidRPr="00474548">
        <w:rPr>
          <w:rFonts w:eastAsiaTheme="minorEastAsia"/>
          <w:color w:val="000000" w:themeColor="text1"/>
          <w:kern w:val="0"/>
          <w:sz w:val="22"/>
          <w:szCs w:val="22"/>
          <w:lang w:val="en-US" w:eastAsia="en-US"/>
        </w:rPr>
        <w:t>Kuester</w:t>
      </w:r>
      <w:proofErr w:type="spellEnd"/>
      <w:r w:rsidR="006813F2" w:rsidRPr="00474548">
        <w:rPr>
          <w:rFonts w:eastAsiaTheme="minorEastAsia"/>
          <w:color w:val="000000" w:themeColor="text1"/>
          <w:kern w:val="0"/>
          <w:sz w:val="22"/>
          <w:szCs w:val="22"/>
          <w:lang w:val="en-US" w:eastAsia="en-US"/>
        </w:rPr>
        <w:t xml:space="preserve">, S., </w:t>
      </w:r>
      <w:proofErr w:type="spellStart"/>
      <w:r w:rsidR="006813F2" w:rsidRPr="00474548">
        <w:rPr>
          <w:rFonts w:eastAsiaTheme="minorEastAsia"/>
          <w:color w:val="000000" w:themeColor="text1"/>
          <w:kern w:val="0"/>
          <w:sz w:val="22"/>
          <w:szCs w:val="22"/>
          <w:lang w:val="en-US" w:eastAsia="en-US"/>
        </w:rPr>
        <w:t>Amadio</w:t>
      </w:r>
      <w:proofErr w:type="spellEnd"/>
      <w:r w:rsidR="006813F2" w:rsidRPr="00474548">
        <w:rPr>
          <w:rFonts w:eastAsiaTheme="minorEastAsia"/>
          <w:color w:val="000000" w:themeColor="text1"/>
          <w:kern w:val="0"/>
          <w:sz w:val="22"/>
          <w:szCs w:val="22"/>
          <w:lang w:val="en-US" w:eastAsia="en-US"/>
        </w:rPr>
        <w:t xml:space="preserve">, T.M., </w:t>
      </w:r>
      <w:proofErr w:type="spellStart"/>
      <w:r w:rsidR="006813F2" w:rsidRPr="00474548">
        <w:rPr>
          <w:rFonts w:eastAsiaTheme="minorEastAsia"/>
          <w:color w:val="000000" w:themeColor="text1"/>
          <w:kern w:val="0"/>
          <w:sz w:val="22"/>
          <w:szCs w:val="22"/>
          <w:lang w:val="en-US" w:eastAsia="en-US"/>
        </w:rPr>
        <w:t>Fernandes</w:t>
      </w:r>
      <w:proofErr w:type="spellEnd"/>
      <w:r w:rsidR="006813F2" w:rsidRPr="00474548">
        <w:rPr>
          <w:rFonts w:eastAsiaTheme="minorEastAsia"/>
          <w:color w:val="000000" w:themeColor="text1"/>
          <w:kern w:val="0"/>
          <w:sz w:val="22"/>
          <w:szCs w:val="22"/>
          <w:lang w:val="en-US" w:eastAsia="en-US"/>
        </w:rPr>
        <w:t xml:space="preserve">, C.A.H., </w:t>
      </w:r>
      <w:proofErr w:type="spellStart"/>
      <w:r w:rsidR="006813F2" w:rsidRPr="00474548">
        <w:rPr>
          <w:rFonts w:eastAsiaTheme="minorEastAsia"/>
          <w:color w:val="000000" w:themeColor="text1"/>
          <w:kern w:val="0"/>
          <w:sz w:val="22"/>
          <w:szCs w:val="22"/>
          <w:lang w:val="en-US" w:eastAsia="en-US"/>
        </w:rPr>
        <w:t>Marinha</w:t>
      </w:r>
      <w:proofErr w:type="spellEnd"/>
      <w:r w:rsidR="006813F2" w:rsidRPr="00474548">
        <w:rPr>
          <w:rFonts w:eastAsiaTheme="minorEastAsia"/>
          <w:color w:val="000000" w:themeColor="text1"/>
          <w:kern w:val="0"/>
          <w:sz w:val="22"/>
          <w:szCs w:val="22"/>
          <w:lang w:val="en-US" w:eastAsia="en-US"/>
        </w:rPr>
        <w:t>, D., Alarcon, O.E. (2013),</w:t>
      </w:r>
      <w:r w:rsidRPr="00474548">
        <w:rPr>
          <w:rFonts w:eastAsiaTheme="minorEastAsia"/>
          <w:color w:val="000000" w:themeColor="text1"/>
          <w:kern w:val="0"/>
          <w:sz w:val="22"/>
          <w:szCs w:val="22"/>
          <w:lang w:val="en-US" w:eastAsia="en-US"/>
        </w:rPr>
        <w:t xml:space="preserve"> </w:t>
      </w:r>
      <w:r w:rsidRPr="00474548">
        <w:rPr>
          <w:rFonts w:eastAsiaTheme="minorEastAsia"/>
          <w:i/>
          <w:color w:val="000000" w:themeColor="text1"/>
          <w:kern w:val="0"/>
          <w:sz w:val="22"/>
          <w:szCs w:val="22"/>
          <w:lang w:val="en-US" w:eastAsia="en-US"/>
        </w:rPr>
        <w:t>The Brazilian energy matrix: From a materials scien</w:t>
      </w:r>
      <w:r w:rsidR="006813F2" w:rsidRPr="00474548">
        <w:rPr>
          <w:rFonts w:eastAsiaTheme="minorEastAsia"/>
          <w:i/>
          <w:color w:val="000000" w:themeColor="text1"/>
          <w:kern w:val="0"/>
          <w:sz w:val="22"/>
          <w:szCs w:val="22"/>
          <w:lang w:val="en-US" w:eastAsia="en-US"/>
        </w:rPr>
        <w:t xml:space="preserve">ce and </w:t>
      </w:r>
      <w:r w:rsidR="006813F2" w:rsidRPr="00474548">
        <w:rPr>
          <w:rFonts w:eastAsiaTheme="minorEastAsia"/>
          <w:i/>
          <w:color w:val="000000" w:themeColor="text1"/>
          <w:kern w:val="0"/>
          <w:sz w:val="22"/>
          <w:szCs w:val="22"/>
          <w:lang w:val="en-US" w:eastAsia="en-US"/>
        </w:rPr>
        <w:lastRenderedPageBreak/>
        <w:t>engineering perspective</w:t>
      </w:r>
      <w:r w:rsidR="006813F2" w:rsidRPr="00474548">
        <w:rPr>
          <w:rFonts w:eastAsiaTheme="minorEastAsia"/>
          <w:color w:val="000000" w:themeColor="text1"/>
          <w:kern w:val="0"/>
          <w:sz w:val="22"/>
          <w:szCs w:val="22"/>
          <w:lang w:val="en-US" w:eastAsia="en-US"/>
        </w:rPr>
        <w:t xml:space="preserve">, </w:t>
      </w:r>
      <w:r w:rsidRPr="00474548">
        <w:rPr>
          <w:rFonts w:eastAsiaTheme="minorEastAsia"/>
          <w:color w:val="000000" w:themeColor="text1"/>
          <w:kern w:val="0"/>
          <w:sz w:val="22"/>
          <w:szCs w:val="22"/>
          <w:lang w:val="en-US" w:eastAsia="en-US"/>
        </w:rPr>
        <w:t>Renewable &amp; Sustainable Energy Review</w:t>
      </w:r>
      <w:r w:rsidR="006813F2" w:rsidRPr="00474548">
        <w:rPr>
          <w:rFonts w:eastAsiaTheme="minorEastAsia"/>
          <w:color w:val="000000" w:themeColor="text1"/>
          <w:kern w:val="0"/>
          <w:sz w:val="22"/>
          <w:szCs w:val="22"/>
          <w:lang w:val="en-US" w:eastAsia="en-US"/>
        </w:rPr>
        <w:t xml:space="preserve">s, </w:t>
      </w:r>
      <w:r w:rsidRPr="00474548">
        <w:rPr>
          <w:rFonts w:eastAsiaTheme="minorEastAsia"/>
          <w:color w:val="000000" w:themeColor="text1"/>
          <w:kern w:val="0"/>
          <w:sz w:val="22"/>
          <w:szCs w:val="22"/>
          <w:lang w:val="en-US" w:eastAsia="en-US"/>
        </w:rPr>
        <w:t>19, 678-691.</w:t>
      </w:r>
    </w:p>
    <w:p w14:paraId="1F74AE90" w14:textId="077671A0" w:rsidR="008353F8" w:rsidRPr="00474548" w:rsidRDefault="006813F2" w:rsidP="005D1E75">
      <w:pPr>
        <w:ind w:left="720" w:hanging="720"/>
        <w:jc w:val="both"/>
        <w:rPr>
          <w:rFonts w:eastAsia="Times New Roman"/>
          <w:kern w:val="0"/>
          <w:sz w:val="22"/>
          <w:szCs w:val="22"/>
          <w:lang w:val="en-US"/>
        </w:rPr>
      </w:pPr>
      <w:proofErr w:type="spellStart"/>
      <w:r w:rsidRPr="00474548">
        <w:rPr>
          <w:rFonts w:eastAsia="Times New Roman"/>
          <w:kern w:val="0"/>
          <w:sz w:val="22"/>
          <w:szCs w:val="22"/>
          <w:lang w:val="pt-BR"/>
        </w:rPr>
        <w:t>Saddi</w:t>
      </w:r>
      <w:proofErr w:type="spellEnd"/>
      <w:r w:rsidRPr="00474548">
        <w:rPr>
          <w:rFonts w:eastAsia="Times New Roman"/>
          <w:kern w:val="0"/>
          <w:sz w:val="22"/>
          <w:szCs w:val="22"/>
          <w:lang w:val="pt-BR"/>
        </w:rPr>
        <w:t>, J. (2011),</w:t>
      </w:r>
      <w:r w:rsidR="008353F8" w:rsidRPr="00474548">
        <w:rPr>
          <w:rFonts w:eastAsia="Times New Roman"/>
          <w:kern w:val="0"/>
          <w:sz w:val="22"/>
          <w:szCs w:val="22"/>
          <w:lang w:val="pt-BR"/>
        </w:rPr>
        <w:t xml:space="preserve"> </w:t>
      </w:r>
      <w:r w:rsidR="008353F8" w:rsidRPr="00474548">
        <w:rPr>
          <w:i/>
          <w:sz w:val="22"/>
          <w:szCs w:val="22"/>
          <w:lang w:val="pt-BR"/>
        </w:rPr>
        <w:t xml:space="preserve">O risco regulatório. </w:t>
      </w:r>
      <w:r w:rsidR="008353F8" w:rsidRPr="00474548">
        <w:rPr>
          <w:rFonts w:eastAsia="Times New Roman"/>
          <w:i/>
          <w:kern w:val="0"/>
          <w:sz w:val="22"/>
          <w:szCs w:val="22"/>
          <w:lang w:val="pt-BR"/>
        </w:rPr>
        <w:t>Jornal Valor Econômico</w:t>
      </w:r>
      <w:r w:rsidR="008353F8" w:rsidRPr="00474548">
        <w:rPr>
          <w:rFonts w:eastAsia="Times New Roman"/>
          <w:kern w:val="0"/>
          <w:sz w:val="22"/>
          <w:szCs w:val="22"/>
          <w:lang w:val="pt-BR"/>
        </w:rPr>
        <w:t xml:space="preserve">: 27/02/2011. Disponível em: </w:t>
      </w:r>
      <w:hyperlink r:id="rId23" w:history="1">
        <w:r w:rsidR="008353F8" w:rsidRPr="00474548">
          <w:rPr>
            <w:rStyle w:val="Hyperlink"/>
            <w:rFonts w:eastAsia="Times New Roman"/>
            <w:kern w:val="0"/>
            <w:sz w:val="22"/>
            <w:szCs w:val="22"/>
            <w:lang w:val="pt-BR"/>
          </w:rPr>
          <w:t>http://www.abbc.org.br/arquivos/o_risco_regulatorio.pdf</w:t>
        </w:r>
      </w:hyperlink>
      <w:r w:rsidR="008353F8" w:rsidRPr="00474548">
        <w:rPr>
          <w:rFonts w:eastAsia="Times New Roman"/>
          <w:kern w:val="0"/>
          <w:sz w:val="22"/>
          <w:szCs w:val="22"/>
          <w:lang w:val="pt-BR"/>
        </w:rPr>
        <w:t xml:space="preserve">. </w:t>
      </w:r>
      <w:proofErr w:type="spellStart"/>
      <w:r w:rsidR="008353F8" w:rsidRPr="00474548">
        <w:rPr>
          <w:rFonts w:eastAsia="Times New Roman"/>
          <w:kern w:val="0"/>
          <w:sz w:val="22"/>
          <w:szCs w:val="22"/>
          <w:lang w:val="en-US"/>
        </w:rPr>
        <w:t>Acesso</w:t>
      </w:r>
      <w:proofErr w:type="spellEnd"/>
      <w:r w:rsidR="008353F8" w:rsidRPr="00474548">
        <w:rPr>
          <w:rFonts w:eastAsia="Times New Roman"/>
          <w:kern w:val="0"/>
          <w:sz w:val="22"/>
          <w:szCs w:val="22"/>
          <w:lang w:val="en-US"/>
        </w:rPr>
        <w:t xml:space="preserve"> 03 de </w:t>
      </w:r>
      <w:r w:rsidR="00FC2E66" w:rsidRPr="00474548">
        <w:rPr>
          <w:rFonts w:eastAsia="Times New Roman"/>
          <w:kern w:val="0"/>
          <w:sz w:val="22"/>
          <w:szCs w:val="22"/>
          <w:lang w:val="en-US"/>
        </w:rPr>
        <w:t>N</w:t>
      </w:r>
      <w:r w:rsidR="008353F8" w:rsidRPr="00474548">
        <w:rPr>
          <w:rFonts w:eastAsia="Times New Roman"/>
          <w:kern w:val="0"/>
          <w:sz w:val="22"/>
          <w:szCs w:val="22"/>
          <w:lang w:val="en-US"/>
        </w:rPr>
        <w:t>ov</w:t>
      </w:r>
      <w:r w:rsidR="00FC2E66" w:rsidRPr="00474548">
        <w:rPr>
          <w:rFonts w:eastAsia="Times New Roman"/>
          <w:kern w:val="0"/>
          <w:sz w:val="22"/>
          <w:szCs w:val="22"/>
          <w:lang w:val="en-US"/>
        </w:rPr>
        <w:t>.</w:t>
      </w:r>
      <w:r w:rsidR="008353F8" w:rsidRPr="00474548">
        <w:rPr>
          <w:rFonts w:eastAsia="Times New Roman"/>
          <w:kern w:val="0"/>
          <w:sz w:val="22"/>
          <w:szCs w:val="22"/>
          <w:lang w:val="en-US"/>
        </w:rPr>
        <w:t xml:space="preserve"> de 2014. São Paulo. 18.</w:t>
      </w:r>
    </w:p>
    <w:p w14:paraId="5A59814F" w14:textId="774C4C4A" w:rsidR="008353F8" w:rsidRPr="00474548" w:rsidRDefault="006813F2" w:rsidP="005D1E75">
      <w:pPr>
        <w:widowControl/>
        <w:suppressAutoHyphens w:val="0"/>
        <w:ind w:left="720" w:hanging="720"/>
        <w:jc w:val="both"/>
        <w:rPr>
          <w:rFonts w:eastAsiaTheme="minorEastAsia"/>
          <w:kern w:val="0"/>
          <w:sz w:val="22"/>
          <w:szCs w:val="22"/>
          <w:lang w:val="en-US" w:eastAsia="en-US"/>
        </w:rPr>
      </w:pPr>
      <w:proofErr w:type="spellStart"/>
      <w:r w:rsidRPr="00474548">
        <w:rPr>
          <w:rFonts w:eastAsiaTheme="minorEastAsia"/>
          <w:kern w:val="0"/>
          <w:sz w:val="22"/>
          <w:szCs w:val="22"/>
          <w:lang w:val="en-US" w:eastAsia="en-US"/>
        </w:rPr>
        <w:t>Sampaio</w:t>
      </w:r>
      <w:proofErr w:type="spellEnd"/>
      <w:r w:rsidRPr="00474548">
        <w:rPr>
          <w:rFonts w:eastAsiaTheme="minorEastAsia"/>
          <w:kern w:val="0"/>
          <w:sz w:val="22"/>
          <w:szCs w:val="22"/>
          <w:lang w:val="en-US" w:eastAsia="en-US"/>
        </w:rPr>
        <w:t xml:space="preserve">, R., Mancini, M. (2007), </w:t>
      </w:r>
      <w:proofErr w:type="spellStart"/>
      <w:r w:rsidR="008353F8" w:rsidRPr="00474548">
        <w:rPr>
          <w:rFonts w:eastAsiaTheme="minorEastAsia"/>
          <w:i/>
          <w:kern w:val="0"/>
          <w:sz w:val="22"/>
          <w:szCs w:val="22"/>
          <w:lang w:val="en-US" w:eastAsia="en-US"/>
        </w:rPr>
        <w:t>Estudos</w:t>
      </w:r>
      <w:proofErr w:type="spellEnd"/>
      <w:r w:rsidR="008353F8" w:rsidRPr="00474548">
        <w:rPr>
          <w:rFonts w:eastAsiaTheme="minorEastAsia"/>
          <w:i/>
          <w:kern w:val="0"/>
          <w:sz w:val="22"/>
          <w:szCs w:val="22"/>
          <w:lang w:val="en-US" w:eastAsia="en-US"/>
        </w:rPr>
        <w:t xml:space="preserve"> de </w:t>
      </w:r>
      <w:proofErr w:type="spellStart"/>
      <w:r w:rsidR="008353F8" w:rsidRPr="00474548">
        <w:rPr>
          <w:rFonts w:eastAsiaTheme="minorEastAsia"/>
          <w:i/>
          <w:kern w:val="0"/>
          <w:sz w:val="22"/>
          <w:szCs w:val="22"/>
          <w:lang w:val="en-US" w:eastAsia="en-US"/>
        </w:rPr>
        <w:t>revisão</w:t>
      </w:r>
      <w:proofErr w:type="spellEnd"/>
      <w:r w:rsidR="008353F8" w:rsidRPr="00474548">
        <w:rPr>
          <w:rFonts w:eastAsiaTheme="minorEastAsia"/>
          <w:i/>
          <w:kern w:val="0"/>
          <w:sz w:val="22"/>
          <w:szCs w:val="22"/>
          <w:lang w:val="en-US" w:eastAsia="en-US"/>
        </w:rPr>
        <w:t xml:space="preserve"> </w:t>
      </w:r>
      <w:proofErr w:type="spellStart"/>
      <w:r w:rsidR="008353F8" w:rsidRPr="00474548">
        <w:rPr>
          <w:rFonts w:eastAsiaTheme="minorEastAsia"/>
          <w:i/>
          <w:kern w:val="0"/>
          <w:sz w:val="22"/>
          <w:szCs w:val="22"/>
          <w:lang w:val="en-US" w:eastAsia="en-US"/>
        </w:rPr>
        <w:t>sistemática</w:t>
      </w:r>
      <w:proofErr w:type="spellEnd"/>
      <w:r w:rsidR="008353F8" w:rsidRPr="00474548">
        <w:rPr>
          <w:rFonts w:eastAsiaTheme="minorEastAsia"/>
          <w:i/>
          <w:kern w:val="0"/>
          <w:sz w:val="22"/>
          <w:szCs w:val="22"/>
          <w:lang w:val="en-US" w:eastAsia="en-US"/>
        </w:rPr>
        <w:t xml:space="preserve">: um </w:t>
      </w:r>
      <w:proofErr w:type="spellStart"/>
      <w:r w:rsidR="008353F8" w:rsidRPr="00474548">
        <w:rPr>
          <w:rFonts w:eastAsiaTheme="minorEastAsia"/>
          <w:i/>
          <w:kern w:val="0"/>
          <w:sz w:val="22"/>
          <w:szCs w:val="22"/>
          <w:lang w:val="en-US" w:eastAsia="en-US"/>
        </w:rPr>
        <w:t>guia</w:t>
      </w:r>
      <w:proofErr w:type="spellEnd"/>
      <w:r w:rsidR="008353F8" w:rsidRPr="00474548">
        <w:rPr>
          <w:rFonts w:eastAsiaTheme="minorEastAsia"/>
          <w:i/>
          <w:kern w:val="0"/>
          <w:sz w:val="22"/>
          <w:szCs w:val="22"/>
          <w:lang w:val="en-US" w:eastAsia="en-US"/>
        </w:rPr>
        <w:t xml:space="preserve"> </w:t>
      </w:r>
      <w:proofErr w:type="spellStart"/>
      <w:r w:rsidR="008353F8" w:rsidRPr="00474548">
        <w:rPr>
          <w:rFonts w:eastAsiaTheme="minorEastAsia"/>
          <w:i/>
          <w:kern w:val="0"/>
          <w:sz w:val="22"/>
          <w:szCs w:val="22"/>
          <w:lang w:val="en-US" w:eastAsia="en-US"/>
        </w:rPr>
        <w:t>para</w:t>
      </w:r>
      <w:proofErr w:type="spellEnd"/>
      <w:r w:rsidR="008353F8" w:rsidRPr="00474548">
        <w:rPr>
          <w:rFonts w:eastAsiaTheme="minorEastAsia"/>
          <w:i/>
          <w:kern w:val="0"/>
          <w:sz w:val="22"/>
          <w:szCs w:val="22"/>
          <w:lang w:val="en-US" w:eastAsia="en-US"/>
        </w:rPr>
        <w:t xml:space="preserve"> a </w:t>
      </w:r>
      <w:proofErr w:type="spellStart"/>
      <w:r w:rsidR="008353F8" w:rsidRPr="00474548">
        <w:rPr>
          <w:rFonts w:eastAsiaTheme="minorEastAsia"/>
          <w:i/>
          <w:kern w:val="0"/>
          <w:sz w:val="22"/>
          <w:szCs w:val="22"/>
          <w:lang w:val="en-US" w:eastAsia="en-US"/>
        </w:rPr>
        <w:t>síntese</w:t>
      </w:r>
      <w:proofErr w:type="spellEnd"/>
      <w:r w:rsidR="008353F8" w:rsidRPr="00474548">
        <w:rPr>
          <w:rFonts w:eastAsiaTheme="minorEastAsia"/>
          <w:i/>
          <w:kern w:val="0"/>
          <w:sz w:val="22"/>
          <w:szCs w:val="22"/>
          <w:lang w:val="en-US" w:eastAsia="en-US"/>
        </w:rPr>
        <w:t xml:space="preserve"> </w:t>
      </w:r>
      <w:proofErr w:type="spellStart"/>
      <w:r w:rsidR="008353F8" w:rsidRPr="00474548">
        <w:rPr>
          <w:rFonts w:eastAsiaTheme="minorEastAsia"/>
          <w:i/>
          <w:kern w:val="0"/>
          <w:sz w:val="22"/>
          <w:szCs w:val="22"/>
          <w:lang w:val="en-US" w:eastAsia="en-US"/>
        </w:rPr>
        <w:t>crite</w:t>
      </w:r>
      <w:r w:rsidRPr="00474548">
        <w:rPr>
          <w:rFonts w:eastAsiaTheme="minorEastAsia"/>
          <w:i/>
          <w:kern w:val="0"/>
          <w:sz w:val="22"/>
          <w:szCs w:val="22"/>
          <w:lang w:val="en-US" w:eastAsia="en-US"/>
        </w:rPr>
        <w:t>riosa</w:t>
      </w:r>
      <w:proofErr w:type="spellEnd"/>
      <w:r w:rsidRPr="00474548">
        <w:rPr>
          <w:rFonts w:eastAsiaTheme="minorEastAsia"/>
          <w:i/>
          <w:kern w:val="0"/>
          <w:sz w:val="22"/>
          <w:szCs w:val="22"/>
          <w:lang w:val="en-US" w:eastAsia="en-US"/>
        </w:rPr>
        <w:t xml:space="preserve"> da </w:t>
      </w:r>
      <w:proofErr w:type="spellStart"/>
      <w:r w:rsidRPr="00474548">
        <w:rPr>
          <w:rFonts w:eastAsiaTheme="minorEastAsia"/>
          <w:i/>
          <w:kern w:val="0"/>
          <w:sz w:val="22"/>
          <w:szCs w:val="22"/>
          <w:lang w:val="en-US" w:eastAsia="en-US"/>
        </w:rPr>
        <w:t>evidência</w:t>
      </w:r>
      <w:proofErr w:type="spellEnd"/>
      <w:r w:rsidRPr="00474548">
        <w:rPr>
          <w:rFonts w:eastAsiaTheme="minorEastAsia"/>
          <w:i/>
          <w:kern w:val="0"/>
          <w:sz w:val="22"/>
          <w:szCs w:val="22"/>
          <w:lang w:val="en-US" w:eastAsia="en-US"/>
        </w:rPr>
        <w:t xml:space="preserve"> </w:t>
      </w:r>
      <w:proofErr w:type="spellStart"/>
      <w:r w:rsidRPr="00474548">
        <w:rPr>
          <w:rFonts w:eastAsiaTheme="minorEastAsia"/>
          <w:i/>
          <w:kern w:val="0"/>
          <w:sz w:val="22"/>
          <w:szCs w:val="22"/>
          <w:lang w:val="en-US" w:eastAsia="en-US"/>
        </w:rPr>
        <w:t>científica</w:t>
      </w:r>
      <w:proofErr w:type="spellEnd"/>
      <w:r w:rsidRPr="00474548">
        <w:rPr>
          <w:rFonts w:eastAsiaTheme="minorEastAsia"/>
          <w:kern w:val="0"/>
          <w:sz w:val="22"/>
          <w:szCs w:val="22"/>
          <w:lang w:val="en-US" w:eastAsia="en-US"/>
        </w:rPr>
        <w:t>,</w:t>
      </w:r>
      <w:r w:rsidR="008353F8" w:rsidRPr="00474548">
        <w:rPr>
          <w:rFonts w:eastAsiaTheme="minorEastAsia"/>
          <w:kern w:val="0"/>
          <w:sz w:val="22"/>
          <w:szCs w:val="22"/>
          <w:lang w:val="en-US" w:eastAsia="en-US"/>
        </w:rPr>
        <w:t xml:space="preserve"> </w:t>
      </w:r>
      <w:proofErr w:type="spellStart"/>
      <w:r w:rsidR="008353F8" w:rsidRPr="00474548">
        <w:rPr>
          <w:rFonts w:eastAsiaTheme="minorEastAsia"/>
          <w:iCs/>
          <w:kern w:val="0"/>
          <w:sz w:val="22"/>
          <w:szCs w:val="22"/>
          <w:lang w:val="en-US" w:eastAsia="en-US"/>
        </w:rPr>
        <w:t>Revista</w:t>
      </w:r>
      <w:proofErr w:type="spellEnd"/>
      <w:r w:rsidR="008353F8" w:rsidRPr="00474548">
        <w:rPr>
          <w:rFonts w:eastAsiaTheme="minorEastAsia"/>
          <w:iCs/>
          <w:kern w:val="0"/>
          <w:sz w:val="22"/>
          <w:szCs w:val="22"/>
          <w:lang w:val="en-US" w:eastAsia="en-US"/>
        </w:rPr>
        <w:t xml:space="preserve"> </w:t>
      </w:r>
      <w:proofErr w:type="spellStart"/>
      <w:r w:rsidR="008353F8" w:rsidRPr="00474548">
        <w:rPr>
          <w:rFonts w:eastAsiaTheme="minorEastAsia"/>
          <w:iCs/>
          <w:kern w:val="0"/>
          <w:sz w:val="22"/>
          <w:szCs w:val="22"/>
          <w:lang w:val="en-US" w:eastAsia="en-US"/>
        </w:rPr>
        <w:t>Brasileira</w:t>
      </w:r>
      <w:proofErr w:type="spellEnd"/>
      <w:r w:rsidR="008353F8" w:rsidRPr="00474548">
        <w:rPr>
          <w:rFonts w:eastAsiaTheme="minorEastAsia"/>
          <w:iCs/>
          <w:kern w:val="0"/>
          <w:sz w:val="22"/>
          <w:szCs w:val="22"/>
          <w:lang w:val="en-US" w:eastAsia="en-US"/>
        </w:rPr>
        <w:t xml:space="preserve"> de </w:t>
      </w:r>
      <w:proofErr w:type="spellStart"/>
      <w:r w:rsidR="008353F8" w:rsidRPr="00474548">
        <w:rPr>
          <w:rFonts w:eastAsiaTheme="minorEastAsia"/>
          <w:iCs/>
          <w:kern w:val="0"/>
          <w:sz w:val="22"/>
          <w:szCs w:val="22"/>
          <w:lang w:val="en-US" w:eastAsia="en-US"/>
        </w:rPr>
        <w:t>Fisioterapia</w:t>
      </w:r>
      <w:proofErr w:type="spellEnd"/>
      <w:r w:rsidR="00732D41" w:rsidRPr="00474548">
        <w:rPr>
          <w:rFonts w:eastAsiaTheme="minorEastAsia"/>
          <w:kern w:val="0"/>
          <w:sz w:val="22"/>
          <w:szCs w:val="22"/>
          <w:lang w:val="en-US" w:eastAsia="en-US"/>
        </w:rPr>
        <w:t xml:space="preserve">, </w:t>
      </w:r>
      <w:r w:rsidRPr="00474548">
        <w:rPr>
          <w:rFonts w:eastAsiaTheme="minorEastAsia"/>
          <w:iCs/>
          <w:kern w:val="0"/>
          <w:sz w:val="22"/>
          <w:szCs w:val="22"/>
          <w:lang w:val="en-US" w:eastAsia="en-US"/>
        </w:rPr>
        <w:t>11</w:t>
      </w:r>
      <w:r w:rsidR="008353F8" w:rsidRPr="00474548">
        <w:rPr>
          <w:rFonts w:eastAsiaTheme="minorEastAsia"/>
          <w:iCs/>
          <w:kern w:val="0"/>
          <w:sz w:val="22"/>
          <w:szCs w:val="22"/>
          <w:lang w:val="en-US" w:eastAsia="en-US"/>
        </w:rPr>
        <w:t>(</w:t>
      </w:r>
      <w:r w:rsidR="008353F8" w:rsidRPr="00474548">
        <w:rPr>
          <w:rFonts w:eastAsiaTheme="minorEastAsia"/>
          <w:kern w:val="0"/>
          <w:sz w:val="22"/>
          <w:szCs w:val="22"/>
          <w:lang w:val="en-US" w:eastAsia="en-US"/>
        </w:rPr>
        <w:t>1), 83-89.</w:t>
      </w:r>
    </w:p>
    <w:p w14:paraId="36C299FA" w14:textId="35307380" w:rsidR="008353F8" w:rsidRPr="00474548" w:rsidRDefault="006813F2" w:rsidP="005D1E75">
      <w:pPr>
        <w:ind w:left="720" w:hanging="720"/>
        <w:jc w:val="both"/>
        <w:rPr>
          <w:rFonts w:eastAsia="Calibri"/>
          <w:sz w:val="22"/>
          <w:szCs w:val="22"/>
          <w:lang w:val="en-US" w:eastAsia="en-US"/>
        </w:rPr>
      </w:pPr>
      <w:r w:rsidRPr="00474548">
        <w:rPr>
          <w:rFonts w:eastAsia="Calibri"/>
          <w:sz w:val="22"/>
          <w:szCs w:val="22"/>
          <w:lang w:val="en-US" w:eastAsia="en-US"/>
        </w:rPr>
        <w:t>Selznick, P. (1985),</w:t>
      </w:r>
      <w:r w:rsidR="008353F8" w:rsidRPr="00474548">
        <w:rPr>
          <w:rFonts w:eastAsia="Calibri"/>
          <w:sz w:val="22"/>
          <w:szCs w:val="22"/>
          <w:lang w:val="en-US" w:eastAsia="en-US"/>
        </w:rPr>
        <w:t xml:space="preserve"> </w:t>
      </w:r>
      <w:r w:rsidR="008353F8" w:rsidRPr="00474548">
        <w:rPr>
          <w:rFonts w:eastAsia="Calibri"/>
          <w:i/>
          <w:sz w:val="22"/>
          <w:szCs w:val="22"/>
          <w:lang w:val="en-US" w:eastAsia="en-US"/>
        </w:rPr>
        <w:t>Focusing Organizational research on Regulation</w:t>
      </w:r>
      <w:r w:rsidR="00732D41" w:rsidRPr="00474548">
        <w:rPr>
          <w:rFonts w:eastAsia="Calibri"/>
          <w:sz w:val="22"/>
          <w:szCs w:val="22"/>
          <w:lang w:val="en-US" w:eastAsia="en-US"/>
        </w:rPr>
        <w:t xml:space="preserve">, </w:t>
      </w:r>
      <w:r w:rsidR="008353F8" w:rsidRPr="00474548">
        <w:rPr>
          <w:rFonts w:eastAsia="Calibri"/>
          <w:sz w:val="22"/>
          <w:szCs w:val="22"/>
          <w:lang w:val="en-US" w:eastAsia="en-US"/>
        </w:rPr>
        <w:t>In: Noll, P. (ed.) Regulatory</w:t>
      </w:r>
      <w:r w:rsidRPr="00474548">
        <w:rPr>
          <w:rFonts w:eastAsia="Calibri"/>
          <w:sz w:val="22"/>
          <w:szCs w:val="22"/>
          <w:lang w:val="en-US" w:eastAsia="en-US"/>
        </w:rPr>
        <w:t xml:space="preserve"> Policy and the Social Sciences,</w:t>
      </w:r>
      <w:r w:rsidR="008353F8" w:rsidRPr="00474548">
        <w:rPr>
          <w:rFonts w:eastAsia="Calibri"/>
          <w:sz w:val="22"/>
          <w:szCs w:val="22"/>
          <w:lang w:val="en-US" w:eastAsia="en-US"/>
        </w:rPr>
        <w:t xml:space="preserve"> Berkeley, CA, 363. </w:t>
      </w:r>
    </w:p>
    <w:p w14:paraId="6299E356" w14:textId="0C9EA59E" w:rsidR="008353F8" w:rsidRPr="00474548" w:rsidRDefault="006813F2" w:rsidP="005D1E75">
      <w:pPr>
        <w:ind w:left="720" w:hanging="720"/>
        <w:jc w:val="both"/>
        <w:rPr>
          <w:sz w:val="22"/>
          <w:szCs w:val="22"/>
          <w:lang w:val="en-US"/>
        </w:rPr>
      </w:pPr>
      <w:r w:rsidRPr="00474548">
        <w:rPr>
          <w:sz w:val="22"/>
          <w:szCs w:val="22"/>
          <w:lang w:val="en-US"/>
        </w:rPr>
        <w:t>Sharpe, W. F. (1964),</w:t>
      </w:r>
      <w:r w:rsidR="008353F8" w:rsidRPr="00474548">
        <w:rPr>
          <w:sz w:val="22"/>
          <w:szCs w:val="22"/>
          <w:lang w:val="en-US"/>
        </w:rPr>
        <w:t xml:space="preserve"> </w:t>
      </w:r>
      <w:r w:rsidR="008353F8" w:rsidRPr="00474548">
        <w:rPr>
          <w:i/>
          <w:sz w:val="22"/>
          <w:szCs w:val="22"/>
          <w:lang w:val="en-US"/>
        </w:rPr>
        <w:t>Capital asset prices: a theory of market equilibrium under conditions of risk</w:t>
      </w:r>
      <w:r w:rsidR="00732D41" w:rsidRPr="00474548">
        <w:rPr>
          <w:sz w:val="22"/>
          <w:szCs w:val="22"/>
          <w:lang w:val="en-US"/>
        </w:rPr>
        <w:t>,</w:t>
      </w:r>
      <w:r w:rsidR="008353F8" w:rsidRPr="00474548">
        <w:rPr>
          <w:sz w:val="22"/>
          <w:szCs w:val="22"/>
          <w:lang w:val="en-US"/>
        </w:rPr>
        <w:t xml:space="preserve"> </w:t>
      </w:r>
      <w:r w:rsidR="008353F8" w:rsidRPr="00474548">
        <w:rPr>
          <w:bCs/>
          <w:sz w:val="22"/>
          <w:szCs w:val="22"/>
          <w:lang w:val="en-US"/>
        </w:rPr>
        <w:t>Journal of Finance</w:t>
      </w:r>
      <w:r w:rsidRPr="00474548">
        <w:rPr>
          <w:sz w:val="22"/>
          <w:szCs w:val="22"/>
          <w:lang w:val="en-US"/>
        </w:rPr>
        <w:t>, 19</w:t>
      </w:r>
      <w:r w:rsidR="008353F8" w:rsidRPr="00474548">
        <w:rPr>
          <w:sz w:val="22"/>
          <w:szCs w:val="22"/>
          <w:lang w:val="en-US"/>
        </w:rPr>
        <w:t>(3), 425-442.</w:t>
      </w:r>
    </w:p>
    <w:p w14:paraId="44B33A13" w14:textId="3665CC38" w:rsidR="008353F8" w:rsidRPr="00474548" w:rsidRDefault="006813F2" w:rsidP="005D1E75">
      <w:pPr>
        <w:ind w:left="720" w:hanging="720"/>
        <w:jc w:val="both"/>
        <w:rPr>
          <w:sz w:val="22"/>
          <w:szCs w:val="22"/>
          <w:lang w:val="en-US"/>
        </w:rPr>
      </w:pPr>
      <w:proofErr w:type="spellStart"/>
      <w:r w:rsidRPr="00474548">
        <w:rPr>
          <w:rFonts w:eastAsia="Times New Roman"/>
          <w:bCs/>
          <w:color w:val="292526"/>
          <w:kern w:val="0"/>
          <w:sz w:val="22"/>
          <w:szCs w:val="22"/>
          <w:lang w:val="en-US"/>
        </w:rPr>
        <w:t>Siffert</w:t>
      </w:r>
      <w:proofErr w:type="spellEnd"/>
      <w:r w:rsidRPr="00474548">
        <w:rPr>
          <w:rFonts w:eastAsia="Times New Roman"/>
          <w:bCs/>
          <w:color w:val="292526"/>
          <w:kern w:val="0"/>
          <w:sz w:val="22"/>
          <w:szCs w:val="22"/>
          <w:lang w:val="en-US"/>
        </w:rPr>
        <w:t xml:space="preserve"> </w:t>
      </w:r>
      <w:proofErr w:type="spellStart"/>
      <w:r w:rsidRPr="00474548">
        <w:rPr>
          <w:rFonts w:eastAsia="Times New Roman"/>
          <w:bCs/>
          <w:color w:val="292526"/>
          <w:kern w:val="0"/>
          <w:sz w:val="22"/>
          <w:szCs w:val="22"/>
          <w:lang w:val="en-US"/>
        </w:rPr>
        <w:t>Filho</w:t>
      </w:r>
      <w:proofErr w:type="spellEnd"/>
      <w:r w:rsidRPr="00474548">
        <w:rPr>
          <w:rFonts w:eastAsia="Times New Roman"/>
          <w:bCs/>
          <w:color w:val="292526"/>
          <w:kern w:val="0"/>
          <w:sz w:val="22"/>
          <w:szCs w:val="22"/>
          <w:lang w:val="en-US"/>
        </w:rPr>
        <w:t>, N.F., Alonso, L.</w:t>
      </w:r>
      <w:r w:rsidR="008353F8" w:rsidRPr="00474548">
        <w:rPr>
          <w:rFonts w:eastAsia="Times New Roman"/>
          <w:bCs/>
          <w:color w:val="292526"/>
          <w:kern w:val="0"/>
          <w:sz w:val="22"/>
          <w:szCs w:val="22"/>
          <w:lang w:val="en-US"/>
        </w:rPr>
        <w:t xml:space="preserve">A., </w:t>
      </w:r>
      <w:proofErr w:type="spellStart"/>
      <w:r w:rsidR="008353F8" w:rsidRPr="00474548">
        <w:rPr>
          <w:rFonts w:eastAsia="Times New Roman"/>
          <w:bCs/>
          <w:color w:val="292526"/>
          <w:kern w:val="0"/>
          <w:sz w:val="22"/>
          <w:szCs w:val="22"/>
          <w:lang w:val="en-US"/>
        </w:rPr>
        <w:t>Chagas</w:t>
      </w:r>
      <w:proofErr w:type="spellEnd"/>
      <w:r w:rsidR="008353F8" w:rsidRPr="00474548">
        <w:rPr>
          <w:rFonts w:eastAsia="Times New Roman"/>
          <w:bCs/>
          <w:color w:val="292526"/>
          <w:kern w:val="0"/>
          <w:sz w:val="22"/>
          <w:szCs w:val="22"/>
          <w:lang w:val="en-US"/>
        </w:rPr>
        <w:t>, E</w:t>
      </w:r>
      <w:r w:rsidRPr="00474548">
        <w:rPr>
          <w:rFonts w:eastAsia="Times New Roman"/>
          <w:bCs/>
          <w:color w:val="292526"/>
          <w:kern w:val="0"/>
          <w:sz w:val="22"/>
          <w:szCs w:val="22"/>
          <w:lang w:val="en-US"/>
        </w:rPr>
        <w:t xml:space="preserve">.B., </w:t>
      </w:r>
      <w:proofErr w:type="spellStart"/>
      <w:r w:rsidRPr="00474548">
        <w:rPr>
          <w:rFonts w:eastAsia="Times New Roman"/>
          <w:bCs/>
          <w:color w:val="292526"/>
          <w:kern w:val="0"/>
          <w:sz w:val="22"/>
          <w:szCs w:val="22"/>
          <w:lang w:val="en-US"/>
        </w:rPr>
        <w:t>Szuster</w:t>
      </w:r>
      <w:proofErr w:type="spellEnd"/>
      <w:r w:rsidRPr="00474548">
        <w:rPr>
          <w:rFonts w:eastAsia="Times New Roman"/>
          <w:bCs/>
          <w:color w:val="292526"/>
          <w:kern w:val="0"/>
          <w:sz w:val="22"/>
          <w:szCs w:val="22"/>
          <w:lang w:val="en-US"/>
        </w:rPr>
        <w:t xml:space="preserve">, F.R., </w:t>
      </w:r>
      <w:proofErr w:type="spellStart"/>
      <w:r w:rsidRPr="00474548">
        <w:rPr>
          <w:rFonts w:eastAsia="Times New Roman"/>
          <w:bCs/>
          <w:color w:val="292526"/>
          <w:kern w:val="0"/>
          <w:sz w:val="22"/>
          <w:szCs w:val="22"/>
          <w:lang w:val="en-US"/>
        </w:rPr>
        <w:t>Sussekind</w:t>
      </w:r>
      <w:proofErr w:type="spellEnd"/>
      <w:r w:rsidRPr="00474548">
        <w:rPr>
          <w:rFonts w:eastAsia="Times New Roman"/>
          <w:bCs/>
          <w:color w:val="292526"/>
          <w:kern w:val="0"/>
          <w:sz w:val="22"/>
          <w:szCs w:val="22"/>
          <w:lang w:val="en-US"/>
        </w:rPr>
        <w:t>, C.S. (2009),</w:t>
      </w:r>
      <w:r w:rsidR="008353F8" w:rsidRPr="00474548">
        <w:rPr>
          <w:rFonts w:eastAsia="Times New Roman"/>
          <w:bCs/>
          <w:color w:val="292526"/>
          <w:kern w:val="0"/>
          <w:sz w:val="22"/>
          <w:szCs w:val="22"/>
          <w:lang w:val="en-US"/>
        </w:rPr>
        <w:t xml:space="preserve"> </w:t>
      </w:r>
      <w:r w:rsidR="008353F8" w:rsidRPr="00474548">
        <w:rPr>
          <w:rFonts w:eastAsia="Times New Roman"/>
          <w:i/>
          <w:iCs/>
          <w:color w:val="292526"/>
          <w:kern w:val="0"/>
          <w:sz w:val="22"/>
          <w:szCs w:val="22"/>
          <w:lang w:val="en-US"/>
        </w:rPr>
        <w:t xml:space="preserve">O </w:t>
      </w:r>
      <w:proofErr w:type="spellStart"/>
      <w:r w:rsidR="008353F8" w:rsidRPr="00474548">
        <w:rPr>
          <w:rFonts w:eastAsia="Times New Roman"/>
          <w:i/>
          <w:iCs/>
          <w:color w:val="292526"/>
          <w:kern w:val="0"/>
          <w:sz w:val="22"/>
          <w:szCs w:val="22"/>
          <w:lang w:val="en-US"/>
        </w:rPr>
        <w:t>Papel</w:t>
      </w:r>
      <w:proofErr w:type="spellEnd"/>
      <w:r w:rsidR="008353F8" w:rsidRPr="00474548">
        <w:rPr>
          <w:rFonts w:eastAsia="Times New Roman"/>
          <w:i/>
          <w:iCs/>
          <w:color w:val="292526"/>
          <w:kern w:val="0"/>
          <w:sz w:val="22"/>
          <w:szCs w:val="22"/>
          <w:lang w:val="en-US"/>
        </w:rPr>
        <w:t xml:space="preserve"> do BNDES </w:t>
      </w:r>
      <w:proofErr w:type="spellStart"/>
      <w:r w:rsidR="008353F8" w:rsidRPr="00474548">
        <w:rPr>
          <w:rFonts w:eastAsia="Times New Roman"/>
          <w:i/>
          <w:iCs/>
          <w:color w:val="292526"/>
          <w:kern w:val="0"/>
          <w:sz w:val="22"/>
          <w:szCs w:val="22"/>
          <w:lang w:val="en-US"/>
        </w:rPr>
        <w:t>na</w:t>
      </w:r>
      <w:proofErr w:type="spellEnd"/>
      <w:r w:rsidR="008353F8" w:rsidRPr="00474548">
        <w:rPr>
          <w:rFonts w:eastAsia="Times New Roman"/>
          <w:i/>
          <w:iCs/>
          <w:color w:val="292526"/>
          <w:kern w:val="0"/>
          <w:sz w:val="22"/>
          <w:szCs w:val="22"/>
          <w:lang w:val="en-US"/>
        </w:rPr>
        <w:t xml:space="preserve"> </w:t>
      </w:r>
      <w:proofErr w:type="spellStart"/>
      <w:r w:rsidR="008353F8" w:rsidRPr="00474548">
        <w:rPr>
          <w:rFonts w:eastAsia="Times New Roman"/>
          <w:i/>
          <w:iCs/>
          <w:color w:val="292526"/>
          <w:kern w:val="0"/>
          <w:sz w:val="22"/>
          <w:szCs w:val="22"/>
          <w:lang w:val="en-US"/>
        </w:rPr>
        <w:t>Expansão</w:t>
      </w:r>
      <w:proofErr w:type="spellEnd"/>
      <w:r w:rsidR="008353F8" w:rsidRPr="00474548">
        <w:rPr>
          <w:rFonts w:eastAsia="Times New Roman"/>
          <w:i/>
          <w:iCs/>
          <w:color w:val="292526"/>
          <w:kern w:val="0"/>
          <w:sz w:val="22"/>
          <w:szCs w:val="22"/>
          <w:lang w:val="en-US"/>
        </w:rPr>
        <w:t xml:space="preserve"> do </w:t>
      </w:r>
      <w:proofErr w:type="spellStart"/>
      <w:r w:rsidR="008353F8" w:rsidRPr="00474548">
        <w:rPr>
          <w:rFonts w:eastAsia="Times New Roman"/>
          <w:i/>
          <w:iCs/>
          <w:color w:val="292526"/>
          <w:kern w:val="0"/>
          <w:sz w:val="22"/>
          <w:szCs w:val="22"/>
          <w:lang w:val="en-US"/>
        </w:rPr>
        <w:t>Setor</w:t>
      </w:r>
      <w:proofErr w:type="spellEnd"/>
      <w:r w:rsidR="008353F8" w:rsidRPr="00474548">
        <w:rPr>
          <w:rFonts w:eastAsia="Times New Roman"/>
          <w:i/>
          <w:iCs/>
          <w:color w:val="292526"/>
          <w:kern w:val="0"/>
          <w:sz w:val="22"/>
          <w:szCs w:val="22"/>
          <w:lang w:val="en-US"/>
        </w:rPr>
        <w:t xml:space="preserve"> </w:t>
      </w:r>
      <w:proofErr w:type="spellStart"/>
      <w:r w:rsidR="008353F8" w:rsidRPr="00474548">
        <w:rPr>
          <w:rFonts w:eastAsia="Times New Roman"/>
          <w:i/>
          <w:iCs/>
          <w:color w:val="292526"/>
          <w:kern w:val="0"/>
          <w:sz w:val="22"/>
          <w:szCs w:val="22"/>
          <w:lang w:val="en-US"/>
        </w:rPr>
        <w:t>Elétrico</w:t>
      </w:r>
      <w:proofErr w:type="spellEnd"/>
      <w:r w:rsidR="008353F8" w:rsidRPr="00474548">
        <w:rPr>
          <w:rFonts w:eastAsia="Times New Roman"/>
          <w:i/>
          <w:iCs/>
          <w:color w:val="292526"/>
          <w:kern w:val="0"/>
          <w:sz w:val="22"/>
          <w:szCs w:val="22"/>
          <w:lang w:val="en-US"/>
        </w:rPr>
        <w:t xml:space="preserve"> </w:t>
      </w:r>
      <w:proofErr w:type="spellStart"/>
      <w:r w:rsidR="008353F8" w:rsidRPr="00474548">
        <w:rPr>
          <w:rFonts w:eastAsia="Times New Roman"/>
          <w:i/>
          <w:iCs/>
          <w:color w:val="292526"/>
          <w:kern w:val="0"/>
          <w:sz w:val="22"/>
          <w:szCs w:val="22"/>
          <w:lang w:val="en-US"/>
        </w:rPr>
        <w:t>Nacional</w:t>
      </w:r>
      <w:proofErr w:type="spellEnd"/>
      <w:r w:rsidR="008353F8" w:rsidRPr="00474548">
        <w:rPr>
          <w:rFonts w:eastAsia="Times New Roman"/>
          <w:i/>
          <w:iCs/>
          <w:color w:val="292526"/>
          <w:kern w:val="0"/>
          <w:sz w:val="22"/>
          <w:szCs w:val="22"/>
          <w:lang w:val="en-US"/>
        </w:rPr>
        <w:t xml:space="preserve"> e o </w:t>
      </w:r>
      <w:proofErr w:type="spellStart"/>
      <w:r w:rsidR="008353F8" w:rsidRPr="00474548">
        <w:rPr>
          <w:rFonts w:eastAsia="Times New Roman"/>
          <w:i/>
          <w:iCs/>
          <w:color w:val="292526"/>
          <w:kern w:val="0"/>
          <w:sz w:val="22"/>
          <w:szCs w:val="22"/>
          <w:lang w:val="en-US"/>
        </w:rPr>
        <w:t>Mecanismo</w:t>
      </w:r>
      <w:proofErr w:type="spellEnd"/>
      <w:r w:rsidR="008353F8" w:rsidRPr="00474548">
        <w:rPr>
          <w:rFonts w:eastAsia="Times New Roman"/>
          <w:i/>
          <w:iCs/>
          <w:color w:val="292526"/>
          <w:kern w:val="0"/>
          <w:sz w:val="22"/>
          <w:szCs w:val="22"/>
          <w:lang w:val="en-US"/>
        </w:rPr>
        <w:t xml:space="preserve"> de </w:t>
      </w:r>
      <w:r w:rsidRPr="00474548">
        <w:rPr>
          <w:rFonts w:eastAsia="Times New Roman"/>
          <w:i/>
          <w:color w:val="292526"/>
          <w:kern w:val="0"/>
          <w:sz w:val="22"/>
          <w:szCs w:val="22"/>
          <w:lang w:val="en-US"/>
        </w:rPr>
        <w:t>Project Finance</w:t>
      </w:r>
      <w:r w:rsidRPr="00474548">
        <w:rPr>
          <w:rFonts w:eastAsia="Times New Roman"/>
          <w:color w:val="292526"/>
          <w:kern w:val="0"/>
          <w:sz w:val="22"/>
          <w:szCs w:val="22"/>
          <w:lang w:val="en-US"/>
        </w:rPr>
        <w:t xml:space="preserve">, </w:t>
      </w:r>
      <w:r w:rsidR="008353F8" w:rsidRPr="00474548">
        <w:rPr>
          <w:rFonts w:eastAsia="Times New Roman"/>
          <w:color w:val="292526"/>
          <w:kern w:val="0"/>
          <w:sz w:val="22"/>
          <w:szCs w:val="22"/>
          <w:lang w:val="en-US"/>
        </w:rPr>
        <w:t xml:space="preserve">BNDES </w:t>
      </w:r>
      <w:proofErr w:type="spellStart"/>
      <w:r w:rsidR="008353F8" w:rsidRPr="00474548">
        <w:rPr>
          <w:rFonts w:eastAsia="Times New Roman"/>
          <w:color w:val="292526"/>
          <w:kern w:val="0"/>
          <w:sz w:val="22"/>
          <w:szCs w:val="22"/>
          <w:lang w:val="en-US"/>
        </w:rPr>
        <w:t>Setorial</w:t>
      </w:r>
      <w:proofErr w:type="spellEnd"/>
      <w:r w:rsidR="008353F8" w:rsidRPr="00474548">
        <w:rPr>
          <w:rFonts w:eastAsia="Times New Roman"/>
          <w:color w:val="292526"/>
          <w:kern w:val="0"/>
          <w:sz w:val="22"/>
          <w:szCs w:val="22"/>
          <w:lang w:val="en-US"/>
        </w:rPr>
        <w:t xml:space="preserve">, </w:t>
      </w:r>
      <w:r w:rsidR="008353F8" w:rsidRPr="00474548">
        <w:rPr>
          <w:rFonts w:eastAsia="Times New Roman"/>
          <w:iCs/>
          <w:color w:val="292526"/>
          <w:kern w:val="0"/>
          <w:sz w:val="22"/>
          <w:szCs w:val="22"/>
          <w:lang w:val="en-US"/>
        </w:rPr>
        <w:t>Rio de Janeiro. 29, 3-36.</w:t>
      </w:r>
    </w:p>
    <w:p w14:paraId="2AC7D0F5" w14:textId="13464CA4" w:rsidR="008353F8" w:rsidRPr="00474548" w:rsidRDefault="006813F2" w:rsidP="005D1E75">
      <w:pPr>
        <w:ind w:left="720" w:hanging="720"/>
        <w:jc w:val="both"/>
        <w:rPr>
          <w:sz w:val="22"/>
          <w:szCs w:val="22"/>
          <w:lang w:val="en-US"/>
        </w:rPr>
      </w:pPr>
      <w:proofErr w:type="spellStart"/>
      <w:r w:rsidRPr="00474548">
        <w:rPr>
          <w:sz w:val="22"/>
          <w:szCs w:val="22"/>
          <w:lang w:val="en-US"/>
        </w:rPr>
        <w:t>Silveira</w:t>
      </w:r>
      <w:proofErr w:type="spellEnd"/>
      <w:r w:rsidRPr="00474548">
        <w:rPr>
          <w:sz w:val="22"/>
          <w:szCs w:val="22"/>
          <w:lang w:val="en-US"/>
        </w:rPr>
        <w:t xml:space="preserve"> </w:t>
      </w:r>
      <w:proofErr w:type="spellStart"/>
      <w:r w:rsidRPr="00474548">
        <w:rPr>
          <w:sz w:val="22"/>
          <w:szCs w:val="22"/>
          <w:lang w:val="en-US"/>
        </w:rPr>
        <w:t>Neto</w:t>
      </w:r>
      <w:proofErr w:type="spellEnd"/>
      <w:r w:rsidRPr="00474548">
        <w:rPr>
          <w:sz w:val="22"/>
          <w:szCs w:val="22"/>
          <w:lang w:val="en-US"/>
        </w:rPr>
        <w:t xml:space="preserve">, O.S., </w:t>
      </w:r>
      <w:proofErr w:type="spellStart"/>
      <w:r w:rsidRPr="00474548">
        <w:rPr>
          <w:sz w:val="22"/>
          <w:szCs w:val="22"/>
          <w:lang w:val="en-US"/>
        </w:rPr>
        <w:t>Mendonça</w:t>
      </w:r>
      <w:proofErr w:type="spellEnd"/>
      <w:r w:rsidRPr="00474548">
        <w:rPr>
          <w:sz w:val="22"/>
          <w:szCs w:val="22"/>
          <w:lang w:val="en-US"/>
        </w:rPr>
        <w:t>, S.F.A. (2011),</w:t>
      </w:r>
      <w:r w:rsidR="008353F8" w:rsidRPr="00474548">
        <w:rPr>
          <w:sz w:val="22"/>
          <w:szCs w:val="22"/>
          <w:lang w:val="en-US"/>
        </w:rPr>
        <w:t xml:space="preserve"> </w:t>
      </w:r>
      <w:r w:rsidR="008353F8" w:rsidRPr="00474548">
        <w:rPr>
          <w:i/>
          <w:sz w:val="22"/>
          <w:szCs w:val="22"/>
          <w:lang w:val="en-US"/>
        </w:rPr>
        <w:t xml:space="preserve">O </w:t>
      </w:r>
      <w:proofErr w:type="spellStart"/>
      <w:r w:rsidR="008353F8" w:rsidRPr="00474548">
        <w:rPr>
          <w:i/>
          <w:sz w:val="22"/>
          <w:szCs w:val="22"/>
          <w:lang w:val="en-US"/>
        </w:rPr>
        <w:t>equilíbrio</w:t>
      </w:r>
      <w:proofErr w:type="spellEnd"/>
      <w:r w:rsidR="008353F8" w:rsidRPr="00474548">
        <w:rPr>
          <w:i/>
          <w:sz w:val="22"/>
          <w:szCs w:val="22"/>
          <w:lang w:val="en-US"/>
        </w:rPr>
        <w:t xml:space="preserve"> de Nash e </w:t>
      </w:r>
      <w:proofErr w:type="spellStart"/>
      <w:r w:rsidR="008353F8" w:rsidRPr="00474548">
        <w:rPr>
          <w:i/>
          <w:sz w:val="22"/>
          <w:szCs w:val="22"/>
          <w:lang w:val="en-US"/>
        </w:rPr>
        <w:t>seus</w:t>
      </w:r>
      <w:proofErr w:type="spellEnd"/>
      <w:r w:rsidR="008353F8" w:rsidRPr="00474548">
        <w:rPr>
          <w:i/>
          <w:sz w:val="22"/>
          <w:szCs w:val="22"/>
          <w:lang w:val="en-US"/>
        </w:rPr>
        <w:t xml:space="preserve"> </w:t>
      </w:r>
      <w:proofErr w:type="spellStart"/>
      <w:r w:rsidR="008353F8" w:rsidRPr="00474548">
        <w:rPr>
          <w:i/>
          <w:sz w:val="22"/>
          <w:szCs w:val="22"/>
          <w:lang w:val="en-US"/>
        </w:rPr>
        <w:t>reflexos</w:t>
      </w:r>
      <w:proofErr w:type="spellEnd"/>
      <w:r w:rsidR="008353F8" w:rsidRPr="00474548">
        <w:rPr>
          <w:i/>
          <w:sz w:val="22"/>
          <w:szCs w:val="22"/>
          <w:lang w:val="en-US"/>
        </w:rPr>
        <w:t xml:space="preserve"> </w:t>
      </w:r>
      <w:proofErr w:type="spellStart"/>
      <w:r w:rsidR="008353F8" w:rsidRPr="00474548">
        <w:rPr>
          <w:i/>
          <w:sz w:val="22"/>
          <w:szCs w:val="22"/>
          <w:lang w:val="en-US"/>
        </w:rPr>
        <w:t>na</w:t>
      </w:r>
      <w:proofErr w:type="spellEnd"/>
      <w:r w:rsidRPr="00474548">
        <w:rPr>
          <w:i/>
          <w:sz w:val="22"/>
          <w:szCs w:val="22"/>
          <w:lang w:val="en-US"/>
        </w:rPr>
        <w:t xml:space="preserve"> </w:t>
      </w:r>
      <w:proofErr w:type="spellStart"/>
      <w:r w:rsidRPr="00474548">
        <w:rPr>
          <w:i/>
          <w:sz w:val="22"/>
          <w:szCs w:val="22"/>
          <w:lang w:val="en-US"/>
        </w:rPr>
        <w:t>teoria</w:t>
      </w:r>
      <w:proofErr w:type="spellEnd"/>
      <w:r w:rsidRPr="00474548">
        <w:rPr>
          <w:i/>
          <w:sz w:val="22"/>
          <w:szCs w:val="22"/>
          <w:lang w:val="en-US"/>
        </w:rPr>
        <w:t xml:space="preserve"> dos </w:t>
      </w:r>
      <w:proofErr w:type="spellStart"/>
      <w:r w:rsidRPr="00474548">
        <w:rPr>
          <w:i/>
          <w:sz w:val="22"/>
          <w:szCs w:val="22"/>
          <w:lang w:val="en-US"/>
        </w:rPr>
        <w:t>mercados</w:t>
      </w:r>
      <w:proofErr w:type="spellEnd"/>
      <w:r w:rsidRPr="00474548">
        <w:rPr>
          <w:i/>
          <w:sz w:val="22"/>
          <w:szCs w:val="22"/>
          <w:lang w:val="en-US"/>
        </w:rPr>
        <w:t xml:space="preserve"> </w:t>
      </w:r>
      <w:proofErr w:type="spellStart"/>
      <w:r w:rsidRPr="00474548">
        <w:rPr>
          <w:i/>
          <w:sz w:val="22"/>
          <w:szCs w:val="22"/>
          <w:lang w:val="en-US"/>
        </w:rPr>
        <w:t>regulados</w:t>
      </w:r>
      <w:proofErr w:type="spellEnd"/>
      <w:r w:rsidRPr="00474548">
        <w:rPr>
          <w:sz w:val="22"/>
          <w:szCs w:val="22"/>
          <w:lang w:val="en-US"/>
        </w:rPr>
        <w:t xml:space="preserve">, </w:t>
      </w:r>
      <w:proofErr w:type="spellStart"/>
      <w:r w:rsidR="008353F8" w:rsidRPr="00474548">
        <w:rPr>
          <w:sz w:val="22"/>
          <w:szCs w:val="22"/>
          <w:lang w:val="en-US"/>
        </w:rPr>
        <w:t>Revista</w:t>
      </w:r>
      <w:proofErr w:type="spellEnd"/>
      <w:r w:rsidR="008353F8" w:rsidRPr="00474548">
        <w:rPr>
          <w:sz w:val="22"/>
          <w:szCs w:val="22"/>
          <w:lang w:val="en-US"/>
        </w:rPr>
        <w:t xml:space="preserve"> </w:t>
      </w:r>
      <w:proofErr w:type="spellStart"/>
      <w:r w:rsidR="008353F8" w:rsidRPr="00474548">
        <w:rPr>
          <w:sz w:val="22"/>
          <w:szCs w:val="22"/>
          <w:lang w:val="en-US"/>
        </w:rPr>
        <w:t>Const</w:t>
      </w:r>
      <w:r w:rsidRPr="00474548">
        <w:rPr>
          <w:sz w:val="22"/>
          <w:szCs w:val="22"/>
          <w:lang w:val="en-US"/>
        </w:rPr>
        <w:t>ituição</w:t>
      </w:r>
      <w:proofErr w:type="spellEnd"/>
      <w:r w:rsidRPr="00474548">
        <w:rPr>
          <w:sz w:val="22"/>
          <w:szCs w:val="22"/>
          <w:lang w:val="en-US"/>
        </w:rPr>
        <w:t xml:space="preserve"> e </w:t>
      </w:r>
      <w:proofErr w:type="spellStart"/>
      <w:r w:rsidRPr="00474548">
        <w:rPr>
          <w:sz w:val="22"/>
          <w:szCs w:val="22"/>
          <w:lang w:val="en-US"/>
        </w:rPr>
        <w:t>Garantia</w:t>
      </w:r>
      <w:proofErr w:type="spellEnd"/>
      <w:r w:rsidRPr="00474548">
        <w:rPr>
          <w:sz w:val="22"/>
          <w:szCs w:val="22"/>
          <w:lang w:val="en-US"/>
        </w:rPr>
        <w:t xml:space="preserve"> de </w:t>
      </w:r>
      <w:proofErr w:type="spellStart"/>
      <w:r w:rsidRPr="00474548">
        <w:rPr>
          <w:sz w:val="22"/>
          <w:szCs w:val="22"/>
          <w:lang w:val="en-US"/>
        </w:rPr>
        <w:t>Direitos</w:t>
      </w:r>
      <w:proofErr w:type="spellEnd"/>
      <w:r w:rsidRPr="00474548">
        <w:rPr>
          <w:sz w:val="22"/>
          <w:szCs w:val="22"/>
          <w:lang w:val="en-US"/>
        </w:rPr>
        <w:t>, 4(1), 1-22.</w:t>
      </w:r>
    </w:p>
    <w:p w14:paraId="4EA8099D" w14:textId="107FFE87" w:rsidR="008353F8" w:rsidRPr="00474548" w:rsidRDefault="006813F2" w:rsidP="005D1E75">
      <w:pPr>
        <w:ind w:left="720" w:hanging="720"/>
        <w:jc w:val="both"/>
        <w:rPr>
          <w:color w:val="222222"/>
          <w:sz w:val="22"/>
          <w:szCs w:val="22"/>
          <w:shd w:val="clear" w:color="auto" w:fill="FFFFFF"/>
          <w:lang w:val="en-US"/>
        </w:rPr>
      </w:pPr>
      <w:r w:rsidRPr="00474548">
        <w:rPr>
          <w:color w:val="222222"/>
          <w:sz w:val="22"/>
          <w:szCs w:val="22"/>
          <w:shd w:val="clear" w:color="auto" w:fill="FFFFFF"/>
          <w:lang w:val="en-US"/>
        </w:rPr>
        <w:t>Smith, W. (</w:t>
      </w:r>
      <w:r w:rsidR="008353F8" w:rsidRPr="00474548">
        <w:rPr>
          <w:color w:val="222222"/>
          <w:sz w:val="22"/>
          <w:szCs w:val="22"/>
          <w:shd w:val="clear" w:color="auto" w:fill="FFFFFF"/>
          <w:lang w:val="en-US"/>
        </w:rPr>
        <w:t>1</w:t>
      </w:r>
      <w:r w:rsidRPr="00474548">
        <w:rPr>
          <w:color w:val="222222"/>
          <w:sz w:val="22"/>
          <w:szCs w:val="22"/>
          <w:shd w:val="clear" w:color="auto" w:fill="FFFFFF"/>
          <w:lang w:val="en-US"/>
        </w:rPr>
        <w:t>997),</w:t>
      </w:r>
      <w:r w:rsidR="008353F8" w:rsidRPr="00474548">
        <w:rPr>
          <w:color w:val="222222"/>
          <w:sz w:val="22"/>
          <w:szCs w:val="22"/>
          <w:shd w:val="clear" w:color="auto" w:fill="FFFFFF"/>
          <w:lang w:val="en-US"/>
        </w:rPr>
        <w:t xml:space="preserve"> </w:t>
      </w:r>
      <w:r w:rsidR="008353F8" w:rsidRPr="00474548">
        <w:rPr>
          <w:i/>
          <w:color w:val="222222"/>
          <w:sz w:val="22"/>
          <w:szCs w:val="22"/>
          <w:shd w:val="clear" w:color="auto" w:fill="FFFFFF"/>
          <w:lang w:val="en-US"/>
        </w:rPr>
        <w:t>Covering political and regulatory risks: Issues and options for private infrastructure arrangements</w:t>
      </w:r>
      <w:r w:rsidR="00732D41" w:rsidRPr="00474548">
        <w:rPr>
          <w:color w:val="222222"/>
          <w:sz w:val="22"/>
          <w:szCs w:val="22"/>
          <w:shd w:val="clear" w:color="auto" w:fill="FFFFFF"/>
          <w:lang w:val="en-US"/>
        </w:rPr>
        <w:t xml:space="preserve">, </w:t>
      </w:r>
      <w:r w:rsidR="008353F8" w:rsidRPr="00474548">
        <w:rPr>
          <w:bCs/>
          <w:color w:val="222222"/>
          <w:sz w:val="22"/>
          <w:szCs w:val="22"/>
          <w:shd w:val="clear" w:color="auto" w:fill="FFFFFF"/>
          <w:lang w:val="en-US"/>
        </w:rPr>
        <w:t>Dealing with Public Risk in Private Infrastructure, The World Bank, World Bank Latin American and Caribbean Studies, Washington</w:t>
      </w:r>
      <w:r w:rsidR="006B0D4F" w:rsidRPr="00474548">
        <w:rPr>
          <w:color w:val="222222"/>
          <w:sz w:val="22"/>
          <w:szCs w:val="22"/>
          <w:shd w:val="clear" w:color="auto" w:fill="FFFFFF"/>
          <w:lang w:val="en-US"/>
        </w:rPr>
        <w:t>, 12</w:t>
      </w:r>
      <w:r w:rsidR="008353F8" w:rsidRPr="00474548">
        <w:rPr>
          <w:color w:val="222222"/>
          <w:sz w:val="22"/>
          <w:szCs w:val="22"/>
          <w:shd w:val="clear" w:color="auto" w:fill="FFFFFF"/>
          <w:lang w:val="en-US"/>
        </w:rPr>
        <w:t>, 45-88.</w:t>
      </w:r>
    </w:p>
    <w:p w14:paraId="67F9945C" w14:textId="4496D6FE" w:rsidR="008353F8" w:rsidRPr="00474548" w:rsidRDefault="006813F2" w:rsidP="005D1E75">
      <w:pPr>
        <w:suppressAutoHyphens w:val="0"/>
        <w:autoSpaceDE w:val="0"/>
        <w:autoSpaceDN w:val="0"/>
        <w:adjustRightInd w:val="0"/>
        <w:ind w:left="720" w:hanging="720"/>
        <w:jc w:val="both"/>
        <w:rPr>
          <w:rFonts w:eastAsiaTheme="minorEastAsia"/>
          <w:kern w:val="0"/>
          <w:sz w:val="22"/>
          <w:szCs w:val="22"/>
          <w:lang w:val="en-US" w:eastAsia="en-US"/>
        </w:rPr>
      </w:pPr>
      <w:proofErr w:type="spellStart"/>
      <w:r w:rsidRPr="00474548">
        <w:rPr>
          <w:color w:val="222222"/>
          <w:sz w:val="22"/>
          <w:szCs w:val="22"/>
          <w:shd w:val="clear" w:color="auto" w:fill="FFFFFF"/>
          <w:lang w:val="en-US"/>
        </w:rPr>
        <w:t>Sobel</w:t>
      </w:r>
      <w:proofErr w:type="spellEnd"/>
      <w:r w:rsidRPr="00474548">
        <w:rPr>
          <w:color w:val="222222"/>
          <w:sz w:val="22"/>
          <w:szCs w:val="22"/>
          <w:shd w:val="clear" w:color="auto" w:fill="FFFFFF"/>
          <w:lang w:val="en-US"/>
        </w:rPr>
        <w:t>, A.</w:t>
      </w:r>
      <w:r w:rsidR="00732D41" w:rsidRPr="00474548">
        <w:rPr>
          <w:color w:val="222222"/>
          <w:sz w:val="22"/>
          <w:szCs w:val="22"/>
          <w:shd w:val="clear" w:color="auto" w:fill="FFFFFF"/>
          <w:lang w:val="en-US"/>
        </w:rPr>
        <w:t xml:space="preserve">C. (2002), </w:t>
      </w:r>
      <w:r w:rsidR="008353F8" w:rsidRPr="00474548">
        <w:rPr>
          <w:rFonts w:eastAsiaTheme="minorEastAsia"/>
          <w:i/>
          <w:kern w:val="0"/>
          <w:sz w:val="22"/>
          <w:szCs w:val="22"/>
          <w:lang w:val="en-US" w:eastAsia="en-US"/>
        </w:rPr>
        <w:t>State institutions, risk, and lending in global capital markets</w:t>
      </w:r>
      <w:r w:rsidR="00732D41" w:rsidRPr="00474548">
        <w:rPr>
          <w:rFonts w:eastAsiaTheme="minorEastAsia"/>
          <w:kern w:val="0"/>
          <w:sz w:val="22"/>
          <w:szCs w:val="22"/>
          <w:lang w:val="en-US" w:eastAsia="en-US"/>
        </w:rPr>
        <w:t xml:space="preserve">, </w:t>
      </w:r>
      <w:r w:rsidR="006A0A0D" w:rsidRPr="00474548">
        <w:rPr>
          <w:rFonts w:eastAsiaTheme="minorEastAsia"/>
          <w:kern w:val="0"/>
          <w:sz w:val="22"/>
          <w:szCs w:val="22"/>
          <w:lang w:val="en-US" w:eastAsia="en-US"/>
        </w:rPr>
        <w:t xml:space="preserve">International Business Review, </w:t>
      </w:r>
      <w:r w:rsidR="008353F8" w:rsidRPr="00474548">
        <w:rPr>
          <w:rFonts w:eastAsiaTheme="minorEastAsia"/>
          <w:kern w:val="0"/>
          <w:sz w:val="22"/>
          <w:szCs w:val="22"/>
          <w:lang w:val="en-US" w:eastAsia="en-US"/>
        </w:rPr>
        <w:t>11, 225-252.</w:t>
      </w:r>
    </w:p>
    <w:p w14:paraId="6CBD80F5" w14:textId="208098AB" w:rsidR="008353F8" w:rsidRPr="00474548" w:rsidRDefault="008353F8" w:rsidP="005D1E75">
      <w:pPr>
        <w:ind w:left="720" w:hanging="720"/>
        <w:jc w:val="both"/>
        <w:rPr>
          <w:sz w:val="22"/>
          <w:szCs w:val="22"/>
          <w:lang w:val="en-US"/>
        </w:rPr>
      </w:pPr>
      <w:r w:rsidRPr="00474548">
        <w:rPr>
          <w:sz w:val="22"/>
          <w:szCs w:val="22"/>
          <w:lang w:val="en-US"/>
        </w:rPr>
        <w:t xml:space="preserve">Tobin, J. </w:t>
      </w:r>
      <w:r w:rsidR="006A0A0D" w:rsidRPr="00474548">
        <w:rPr>
          <w:sz w:val="22"/>
          <w:szCs w:val="22"/>
          <w:lang w:val="en-US"/>
        </w:rPr>
        <w:t>(1958),</w:t>
      </w:r>
      <w:r w:rsidRPr="00474548">
        <w:rPr>
          <w:sz w:val="22"/>
          <w:szCs w:val="22"/>
          <w:lang w:val="en-US"/>
        </w:rPr>
        <w:t xml:space="preserve"> </w:t>
      </w:r>
      <w:r w:rsidRPr="00474548">
        <w:rPr>
          <w:i/>
          <w:sz w:val="22"/>
          <w:szCs w:val="22"/>
          <w:lang w:val="en-US"/>
        </w:rPr>
        <w:t>Liquidity preference as behavior toward risk</w:t>
      </w:r>
      <w:r w:rsidR="00732D41" w:rsidRPr="00474548">
        <w:rPr>
          <w:sz w:val="22"/>
          <w:szCs w:val="22"/>
          <w:lang w:val="en-US"/>
        </w:rPr>
        <w:t>, The Review of Economic Studies,</w:t>
      </w:r>
      <w:r w:rsidRPr="00474548">
        <w:rPr>
          <w:sz w:val="22"/>
          <w:szCs w:val="22"/>
          <w:lang w:val="en-US"/>
        </w:rPr>
        <w:t xml:space="preserve"> 65-86.</w:t>
      </w:r>
    </w:p>
    <w:p w14:paraId="3D093AA7" w14:textId="779A52EE" w:rsidR="008353F8" w:rsidRPr="00474548" w:rsidRDefault="006A0A0D" w:rsidP="005D1E75">
      <w:pPr>
        <w:widowControl/>
        <w:suppressAutoHyphens w:val="0"/>
        <w:ind w:left="720" w:hanging="720"/>
        <w:jc w:val="both"/>
        <w:rPr>
          <w:rFonts w:eastAsiaTheme="minorEastAsia"/>
          <w:color w:val="000000" w:themeColor="text1"/>
          <w:kern w:val="0"/>
          <w:sz w:val="22"/>
          <w:szCs w:val="22"/>
          <w:lang w:val="en-US" w:eastAsia="en-US"/>
        </w:rPr>
      </w:pPr>
      <w:r w:rsidRPr="00474548">
        <w:rPr>
          <w:rFonts w:eastAsiaTheme="minorEastAsia"/>
          <w:bCs/>
          <w:color w:val="000000" w:themeColor="text1"/>
          <w:kern w:val="0"/>
          <w:sz w:val="22"/>
          <w:szCs w:val="22"/>
          <w:lang w:val="en-US" w:eastAsia="en-US"/>
        </w:rPr>
        <w:t xml:space="preserve">Veiga, C.R.P., Veiga. C.V., Del </w:t>
      </w:r>
      <w:proofErr w:type="spellStart"/>
      <w:r w:rsidRPr="00474548">
        <w:rPr>
          <w:rFonts w:eastAsiaTheme="minorEastAsia"/>
          <w:bCs/>
          <w:color w:val="000000" w:themeColor="text1"/>
          <w:kern w:val="0"/>
          <w:sz w:val="22"/>
          <w:szCs w:val="22"/>
          <w:lang w:val="en-US" w:eastAsia="en-US"/>
        </w:rPr>
        <w:t>Corso</w:t>
      </w:r>
      <w:proofErr w:type="spellEnd"/>
      <w:r w:rsidRPr="00474548">
        <w:rPr>
          <w:rFonts w:eastAsiaTheme="minorEastAsia"/>
          <w:bCs/>
          <w:color w:val="000000" w:themeColor="text1"/>
          <w:kern w:val="0"/>
          <w:sz w:val="22"/>
          <w:szCs w:val="22"/>
          <w:lang w:val="en-US" w:eastAsia="en-US"/>
        </w:rPr>
        <w:t>, J.M., Silva, W.V. (2012),</w:t>
      </w:r>
      <w:r w:rsidR="008353F8" w:rsidRPr="00474548">
        <w:rPr>
          <w:rFonts w:eastAsiaTheme="minorEastAsia"/>
          <w:bCs/>
          <w:color w:val="000000" w:themeColor="text1"/>
          <w:kern w:val="0"/>
          <w:sz w:val="22"/>
          <w:szCs w:val="22"/>
          <w:lang w:val="en-US" w:eastAsia="en-US"/>
        </w:rPr>
        <w:t xml:space="preserve"> </w:t>
      </w:r>
      <w:proofErr w:type="gramStart"/>
      <w:r w:rsidR="008353F8" w:rsidRPr="00474548">
        <w:rPr>
          <w:rFonts w:eastAsiaTheme="minorEastAsia"/>
          <w:bCs/>
          <w:i/>
          <w:color w:val="000000" w:themeColor="text1"/>
          <w:kern w:val="0"/>
          <w:sz w:val="22"/>
          <w:szCs w:val="22"/>
          <w:lang w:val="en-US" w:eastAsia="en-US"/>
        </w:rPr>
        <w:t>A</w:t>
      </w:r>
      <w:proofErr w:type="gram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dinâmica</w:t>
      </w:r>
      <w:proofErr w:type="spellEnd"/>
      <w:r w:rsidR="008353F8" w:rsidRPr="00474548">
        <w:rPr>
          <w:rFonts w:eastAsiaTheme="minorEastAsia"/>
          <w:bCs/>
          <w:i/>
          <w:color w:val="000000" w:themeColor="text1"/>
          <w:kern w:val="0"/>
          <w:sz w:val="22"/>
          <w:szCs w:val="22"/>
          <w:lang w:val="en-US" w:eastAsia="en-US"/>
        </w:rPr>
        <w:t xml:space="preserve"> da </w:t>
      </w:r>
      <w:proofErr w:type="spellStart"/>
      <w:r w:rsidR="008353F8" w:rsidRPr="00474548">
        <w:rPr>
          <w:rFonts w:eastAsiaTheme="minorEastAsia"/>
          <w:bCs/>
          <w:i/>
          <w:color w:val="000000" w:themeColor="text1"/>
          <w:kern w:val="0"/>
          <w:sz w:val="22"/>
          <w:szCs w:val="22"/>
          <w:lang w:val="en-US" w:eastAsia="en-US"/>
        </w:rPr>
        <w:t>inovação</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tecnológica</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papel</w:t>
      </w:r>
      <w:proofErr w:type="spellEnd"/>
      <w:r w:rsidR="008353F8" w:rsidRPr="00474548">
        <w:rPr>
          <w:rFonts w:eastAsiaTheme="minorEastAsia"/>
          <w:bCs/>
          <w:i/>
          <w:color w:val="000000" w:themeColor="text1"/>
          <w:kern w:val="0"/>
          <w:sz w:val="22"/>
          <w:szCs w:val="22"/>
          <w:lang w:val="en-US" w:eastAsia="en-US"/>
        </w:rPr>
        <w:t xml:space="preserve"> da </w:t>
      </w:r>
      <w:proofErr w:type="spellStart"/>
      <w:r w:rsidR="008353F8" w:rsidRPr="00474548">
        <w:rPr>
          <w:rFonts w:eastAsiaTheme="minorEastAsia"/>
          <w:bCs/>
          <w:i/>
          <w:color w:val="000000" w:themeColor="text1"/>
          <w:kern w:val="0"/>
          <w:sz w:val="22"/>
          <w:szCs w:val="22"/>
          <w:lang w:val="en-US" w:eastAsia="en-US"/>
        </w:rPr>
        <w:t>demanda</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puxada</w:t>
      </w:r>
      <w:proofErr w:type="spellEnd"/>
      <w:r w:rsidR="008353F8" w:rsidRPr="00474548">
        <w:rPr>
          <w:rFonts w:eastAsiaTheme="minorEastAsia"/>
          <w:bCs/>
          <w:i/>
          <w:color w:val="000000" w:themeColor="text1"/>
          <w:kern w:val="0"/>
          <w:sz w:val="22"/>
          <w:szCs w:val="22"/>
          <w:lang w:val="en-US" w:eastAsia="en-US"/>
        </w:rPr>
        <w:t xml:space="preserve">, da </w:t>
      </w:r>
      <w:proofErr w:type="spellStart"/>
      <w:r w:rsidR="008353F8" w:rsidRPr="00474548">
        <w:rPr>
          <w:rFonts w:eastAsiaTheme="minorEastAsia"/>
          <w:bCs/>
          <w:i/>
          <w:color w:val="000000" w:themeColor="text1"/>
          <w:kern w:val="0"/>
          <w:sz w:val="22"/>
          <w:szCs w:val="22"/>
          <w:lang w:val="en-US" w:eastAsia="en-US"/>
        </w:rPr>
        <w:t>tecnologia</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empurrada</w:t>
      </w:r>
      <w:proofErr w:type="spellEnd"/>
      <w:r w:rsidR="008353F8" w:rsidRPr="00474548">
        <w:rPr>
          <w:rFonts w:eastAsiaTheme="minorEastAsia"/>
          <w:bCs/>
          <w:i/>
          <w:color w:val="000000" w:themeColor="text1"/>
          <w:kern w:val="0"/>
          <w:sz w:val="22"/>
          <w:szCs w:val="22"/>
          <w:lang w:val="en-US" w:eastAsia="en-US"/>
        </w:rPr>
        <w:t xml:space="preserve"> e dos </w:t>
      </w:r>
      <w:proofErr w:type="spellStart"/>
      <w:r w:rsidR="008353F8" w:rsidRPr="00474548">
        <w:rPr>
          <w:rFonts w:eastAsiaTheme="minorEastAsia"/>
          <w:bCs/>
          <w:i/>
          <w:color w:val="000000" w:themeColor="text1"/>
          <w:kern w:val="0"/>
          <w:sz w:val="22"/>
          <w:szCs w:val="22"/>
          <w:lang w:val="en-US" w:eastAsia="en-US"/>
        </w:rPr>
        <w:t>incentivos</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governamentais</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na</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indústria</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farmacêutica</w:t>
      </w:r>
      <w:proofErr w:type="spellEnd"/>
      <w:r w:rsidR="008353F8" w:rsidRPr="00474548">
        <w:rPr>
          <w:rFonts w:eastAsiaTheme="minorEastAsia"/>
          <w:bCs/>
          <w:i/>
          <w:color w:val="000000" w:themeColor="text1"/>
          <w:kern w:val="0"/>
          <w:sz w:val="22"/>
          <w:szCs w:val="22"/>
          <w:lang w:val="en-US" w:eastAsia="en-US"/>
        </w:rPr>
        <w:t xml:space="preserve"> </w:t>
      </w:r>
      <w:proofErr w:type="spellStart"/>
      <w:r w:rsidR="008353F8" w:rsidRPr="00474548">
        <w:rPr>
          <w:rFonts w:eastAsiaTheme="minorEastAsia"/>
          <w:bCs/>
          <w:i/>
          <w:color w:val="000000" w:themeColor="text1"/>
          <w:kern w:val="0"/>
          <w:sz w:val="22"/>
          <w:szCs w:val="22"/>
          <w:lang w:val="en-US" w:eastAsia="en-US"/>
        </w:rPr>
        <w:t>brasilei</w:t>
      </w:r>
      <w:r w:rsidRPr="00474548">
        <w:rPr>
          <w:rFonts w:eastAsiaTheme="minorEastAsia"/>
          <w:bCs/>
          <w:i/>
          <w:color w:val="000000" w:themeColor="text1"/>
          <w:kern w:val="0"/>
          <w:sz w:val="22"/>
          <w:szCs w:val="22"/>
          <w:lang w:val="en-US" w:eastAsia="en-US"/>
        </w:rPr>
        <w:t>ra</w:t>
      </w:r>
      <w:proofErr w:type="spellEnd"/>
      <w:r w:rsidRPr="00474548">
        <w:rPr>
          <w:rFonts w:eastAsiaTheme="minorEastAsia"/>
          <w:bCs/>
          <w:color w:val="000000" w:themeColor="text1"/>
          <w:kern w:val="0"/>
          <w:sz w:val="22"/>
          <w:szCs w:val="22"/>
          <w:lang w:val="en-US" w:eastAsia="en-US"/>
        </w:rPr>
        <w:t xml:space="preserve">. REGE </w:t>
      </w:r>
      <w:proofErr w:type="spellStart"/>
      <w:r w:rsidRPr="00474548">
        <w:rPr>
          <w:rFonts w:eastAsiaTheme="minorEastAsia"/>
          <w:bCs/>
          <w:color w:val="000000" w:themeColor="text1"/>
          <w:kern w:val="0"/>
          <w:sz w:val="22"/>
          <w:szCs w:val="22"/>
          <w:lang w:val="en-US" w:eastAsia="en-US"/>
        </w:rPr>
        <w:t>Revista</w:t>
      </w:r>
      <w:proofErr w:type="spellEnd"/>
      <w:r w:rsidRPr="00474548">
        <w:rPr>
          <w:rFonts w:eastAsiaTheme="minorEastAsia"/>
          <w:bCs/>
          <w:color w:val="000000" w:themeColor="text1"/>
          <w:kern w:val="0"/>
          <w:sz w:val="22"/>
          <w:szCs w:val="22"/>
          <w:lang w:val="en-US" w:eastAsia="en-US"/>
        </w:rPr>
        <w:t xml:space="preserve"> de Gestão. 19</w:t>
      </w:r>
      <w:r w:rsidR="008353F8" w:rsidRPr="00474548">
        <w:rPr>
          <w:rFonts w:eastAsiaTheme="minorEastAsia"/>
          <w:bCs/>
          <w:color w:val="000000" w:themeColor="text1"/>
          <w:kern w:val="0"/>
          <w:sz w:val="22"/>
          <w:szCs w:val="22"/>
          <w:lang w:val="en-US" w:eastAsia="en-US"/>
        </w:rPr>
        <w:t>(4), 515-534.</w:t>
      </w:r>
    </w:p>
    <w:p w14:paraId="1A07ED55" w14:textId="7D243339" w:rsidR="008353F8" w:rsidRPr="00474548" w:rsidRDefault="008353F8" w:rsidP="005D1E75">
      <w:pPr>
        <w:ind w:left="720" w:hanging="720"/>
        <w:jc w:val="both"/>
        <w:rPr>
          <w:sz w:val="22"/>
          <w:szCs w:val="22"/>
          <w:lang w:val="en-US"/>
        </w:rPr>
      </w:pPr>
      <w:r w:rsidRPr="00474548">
        <w:rPr>
          <w:sz w:val="22"/>
          <w:szCs w:val="22"/>
          <w:lang w:val="en-US"/>
        </w:rPr>
        <w:t>Wr</w:t>
      </w:r>
      <w:r w:rsidR="006A0A0D" w:rsidRPr="00474548">
        <w:rPr>
          <w:sz w:val="22"/>
          <w:szCs w:val="22"/>
          <w:lang w:val="en-US"/>
        </w:rPr>
        <w:t>ight, S., Mason, R., Miles, D. (2013),</w:t>
      </w:r>
      <w:r w:rsidRPr="00474548">
        <w:rPr>
          <w:sz w:val="22"/>
          <w:szCs w:val="22"/>
          <w:lang w:val="en-US"/>
        </w:rPr>
        <w:t xml:space="preserve"> </w:t>
      </w:r>
      <w:r w:rsidRPr="00474548">
        <w:rPr>
          <w:i/>
          <w:sz w:val="22"/>
          <w:szCs w:val="22"/>
          <w:lang w:val="en-US"/>
        </w:rPr>
        <w:t>A Study into Certain Aspects of the Cost of Capital for Regulate</w:t>
      </w:r>
      <w:r w:rsidR="006A0A0D" w:rsidRPr="00474548">
        <w:rPr>
          <w:i/>
          <w:sz w:val="22"/>
          <w:szCs w:val="22"/>
          <w:lang w:val="en-US"/>
        </w:rPr>
        <w:t>d Utilities in the U.K</w:t>
      </w:r>
      <w:r w:rsidR="006A0A0D" w:rsidRPr="00474548">
        <w:rPr>
          <w:sz w:val="22"/>
          <w:szCs w:val="22"/>
          <w:lang w:val="en-US"/>
        </w:rPr>
        <w:t>., Report,</w:t>
      </w:r>
      <w:r w:rsidRPr="00474548">
        <w:rPr>
          <w:sz w:val="22"/>
          <w:szCs w:val="22"/>
          <w:lang w:val="en-US"/>
        </w:rPr>
        <w:t xml:space="preserve"> </w:t>
      </w:r>
      <w:proofErr w:type="spellStart"/>
      <w:r w:rsidRPr="00474548">
        <w:rPr>
          <w:sz w:val="22"/>
          <w:szCs w:val="22"/>
          <w:lang w:val="en-US"/>
        </w:rPr>
        <w:t>Smithers</w:t>
      </w:r>
      <w:proofErr w:type="spellEnd"/>
      <w:r w:rsidRPr="00474548">
        <w:rPr>
          <w:sz w:val="22"/>
          <w:szCs w:val="22"/>
          <w:lang w:val="en-US"/>
        </w:rPr>
        <w:t xml:space="preserve"> &amp; Co</w:t>
      </w:r>
      <w:r w:rsidR="00C417DC" w:rsidRPr="00474548">
        <w:rPr>
          <w:sz w:val="22"/>
          <w:szCs w:val="22"/>
          <w:lang w:val="en-US"/>
        </w:rPr>
        <w:t>.</w:t>
      </w:r>
      <w:r w:rsidRPr="00474548">
        <w:rPr>
          <w:sz w:val="22"/>
          <w:szCs w:val="22"/>
          <w:lang w:val="en-US"/>
        </w:rPr>
        <w:t xml:space="preserve"> Ltd</w:t>
      </w:r>
      <w:r w:rsidR="00C417DC" w:rsidRPr="00474548">
        <w:rPr>
          <w:sz w:val="22"/>
          <w:szCs w:val="22"/>
          <w:lang w:val="en-US"/>
        </w:rPr>
        <w:t>.</w:t>
      </w:r>
      <w:r w:rsidRPr="00474548">
        <w:rPr>
          <w:sz w:val="22"/>
          <w:szCs w:val="22"/>
          <w:lang w:val="en-US"/>
        </w:rPr>
        <w:t>, Lond</w:t>
      </w:r>
      <w:r w:rsidR="00C417DC" w:rsidRPr="00474548">
        <w:rPr>
          <w:sz w:val="22"/>
          <w:szCs w:val="22"/>
          <w:lang w:val="en-US"/>
        </w:rPr>
        <w:t>on</w:t>
      </w:r>
    </w:p>
    <w:p w14:paraId="5763B725" w14:textId="0546819F" w:rsidR="008353F8" w:rsidRPr="00474548" w:rsidRDefault="008353F8" w:rsidP="005D1E75">
      <w:pPr>
        <w:suppressAutoHyphens w:val="0"/>
        <w:autoSpaceDE w:val="0"/>
        <w:autoSpaceDN w:val="0"/>
        <w:adjustRightInd w:val="0"/>
        <w:ind w:left="720" w:hanging="720"/>
        <w:jc w:val="both"/>
        <w:rPr>
          <w:rFonts w:eastAsiaTheme="minorEastAsia"/>
          <w:color w:val="000000" w:themeColor="text1"/>
          <w:kern w:val="0"/>
          <w:sz w:val="22"/>
          <w:szCs w:val="22"/>
          <w:lang w:val="en-US" w:eastAsia="en-US"/>
        </w:rPr>
      </w:pPr>
      <w:proofErr w:type="spellStart"/>
      <w:r w:rsidRPr="00474548">
        <w:rPr>
          <w:rFonts w:eastAsiaTheme="minorEastAsia"/>
          <w:color w:val="000000" w:themeColor="text1"/>
          <w:kern w:val="0"/>
          <w:sz w:val="22"/>
          <w:szCs w:val="22"/>
          <w:lang w:val="en-US" w:eastAsia="en-US"/>
        </w:rPr>
        <w:t>Wonnacott</w:t>
      </w:r>
      <w:proofErr w:type="spellEnd"/>
      <w:r w:rsidRPr="00474548">
        <w:rPr>
          <w:rFonts w:eastAsiaTheme="minorEastAsia"/>
          <w:color w:val="000000" w:themeColor="text1"/>
          <w:kern w:val="0"/>
          <w:sz w:val="22"/>
          <w:szCs w:val="22"/>
          <w:lang w:val="en-US" w:eastAsia="en-US"/>
        </w:rPr>
        <w:t>, T.</w:t>
      </w:r>
      <w:r w:rsidR="00301467" w:rsidRPr="00474548">
        <w:rPr>
          <w:rFonts w:eastAsiaTheme="minorEastAsia"/>
          <w:color w:val="000000" w:themeColor="text1"/>
          <w:kern w:val="0"/>
          <w:sz w:val="22"/>
          <w:szCs w:val="22"/>
          <w:lang w:val="en-US" w:eastAsia="en-US"/>
        </w:rPr>
        <w:t xml:space="preserve"> </w:t>
      </w:r>
      <w:r w:rsidR="006A0A0D" w:rsidRPr="00474548">
        <w:rPr>
          <w:rFonts w:eastAsiaTheme="minorEastAsia"/>
          <w:color w:val="000000" w:themeColor="text1"/>
          <w:kern w:val="0"/>
          <w:sz w:val="22"/>
          <w:szCs w:val="22"/>
          <w:lang w:val="en-US" w:eastAsia="en-US"/>
        </w:rPr>
        <w:t xml:space="preserve">H., </w:t>
      </w:r>
      <w:proofErr w:type="spellStart"/>
      <w:r w:rsidR="006A0A0D" w:rsidRPr="00474548">
        <w:rPr>
          <w:rFonts w:eastAsiaTheme="minorEastAsia"/>
          <w:color w:val="000000" w:themeColor="text1"/>
          <w:kern w:val="0"/>
          <w:sz w:val="22"/>
          <w:szCs w:val="22"/>
          <w:lang w:val="en-US" w:eastAsia="en-US"/>
        </w:rPr>
        <w:t>Wonnacott</w:t>
      </w:r>
      <w:proofErr w:type="spellEnd"/>
      <w:r w:rsidR="006A0A0D" w:rsidRPr="00474548">
        <w:rPr>
          <w:rFonts w:eastAsiaTheme="minorEastAsia"/>
          <w:color w:val="000000" w:themeColor="text1"/>
          <w:kern w:val="0"/>
          <w:sz w:val="22"/>
          <w:szCs w:val="22"/>
          <w:lang w:val="en-US" w:eastAsia="en-US"/>
        </w:rPr>
        <w:t>, R. J. (1990),</w:t>
      </w:r>
      <w:r w:rsidRPr="00474548">
        <w:rPr>
          <w:rFonts w:eastAsiaTheme="minorEastAsia"/>
          <w:color w:val="000000" w:themeColor="text1"/>
          <w:kern w:val="0"/>
          <w:sz w:val="22"/>
          <w:szCs w:val="22"/>
          <w:lang w:val="en-US" w:eastAsia="en-US"/>
        </w:rPr>
        <w:t xml:space="preserve"> </w:t>
      </w:r>
      <w:r w:rsidRPr="00474548">
        <w:rPr>
          <w:rFonts w:eastAsiaTheme="minorEastAsia"/>
          <w:i/>
          <w:color w:val="000000" w:themeColor="text1"/>
          <w:kern w:val="0"/>
          <w:sz w:val="22"/>
          <w:szCs w:val="22"/>
          <w:lang w:val="en-US" w:eastAsia="en-US"/>
        </w:rPr>
        <w:t>Introductory statistics for business and economics</w:t>
      </w:r>
      <w:r w:rsidR="00732D41" w:rsidRPr="00474548">
        <w:rPr>
          <w:rFonts w:eastAsiaTheme="minorEastAsia"/>
          <w:color w:val="000000" w:themeColor="text1"/>
          <w:kern w:val="0"/>
          <w:sz w:val="22"/>
          <w:szCs w:val="22"/>
          <w:lang w:val="en-US" w:eastAsia="en-US"/>
        </w:rPr>
        <w:t xml:space="preserve">, </w:t>
      </w:r>
      <w:r w:rsidRPr="00474548">
        <w:rPr>
          <w:rFonts w:eastAsiaTheme="minorEastAsia"/>
          <w:color w:val="000000" w:themeColor="text1"/>
          <w:kern w:val="0"/>
          <w:sz w:val="22"/>
          <w:szCs w:val="22"/>
          <w:lang w:val="en-US" w:eastAsia="en-US"/>
        </w:rPr>
        <w:t>Fourth Edition. New York: John Wiley &amp; Sons, 815p.</w:t>
      </w:r>
    </w:p>
    <w:p w14:paraId="6F3E466E" w14:textId="52BB63D0" w:rsidR="008353F8" w:rsidRPr="00474548" w:rsidRDefault="006A0A0D" w:rsidP="005D1E75">
      <w:pPr>
        <w:ind w:left="720" w:hanging="720"/>
        <w:jc w:val="both"/>
        <w:rPr>
          <w:sz w:val="22"/>
          <w:szCs w:val="22"/>
          <w:lang w:val="en-US"/>
        </w:rPr>
      </w:pPr>
      <w:proofErr w:type="spellStart"/>
      <w:r w:rsidRPr="00474548">
        <w:rPr>
          <w:sz w:val="22"/>
          <w:szCs w:val="22"/>
          <w:lang w:val="en-US"/>
        </w:rPr>
        <w:t>Xiong</w:t>
      </w:r>
      <w:proofErr w:type="spellEnd"/>
      <w:r w:rsidRPr="00474548">
        <w:rPr>
          <w:sz w:val="22"/>
          <w:szCs w:val="22"/>
          <w:lang w:val="en-US"/>
        </w:rPr>
        <w:t xml:space="preserve">, T., </w:t>
      </w:r>
      <w:proofErr w:type="spellStart"/>
      <w:r w:rsidRPr="00474548">
        <w:rPr>
          <w:sz w:val="22"/>
          <w:szCs w:val="22"/>
          <w:lang w:val="en-US"/>
        </w:rPr>
        <w:t>Yukun</w:t>
      </w:r>
      <w:proofErr w:type="spellEnd"/>
      <w:r w:rsidRPr="00474548">
        <w:rPr>
          <w:sz w:val="22"/>
          <w:szCs w:val="22"/>
          <w:lang w:val="en-US"/>
        </w:rPr>
        <w:t>, B., Hu, Z. (2013),</w:t>
      </w:r>
      <w:r w:rsidR="008353F8" w:rsidRPr="00474548">
        <w:rPr>
          <w:sz w:val="22"/>
          <w:szCs w:val="22"/>
          <w:lang w:val="en-US"/>
        </w:rPr>
        <w:t xml:space="preserve"> </w:t>
      </w:r>
      <w:proofErr w:type="gramStart"/>
      <w:r w:rsidR="008353F8" w:rsidRPr="00474548">
        <w:rPr>
          <w:i/>
          <w:sz w:val="22"/>
          <w:szCs w:val="22"/>
          <w:lang w:val="en-US"/>
        </w:rPr>
        <w:t>Beyond</w:t>
      </w:r>
      <w:proofErr w:type="gramEnd"/>
      <w:r w:rsidR="008353F8" w:rsidRPr="00474548">
        <w:rPr>
          <w:i/>
          <w:sz w:val="22"/>
          <w:szCs w:val="22"/>
          <w:lang w:val="en-US"/>
        </w:rPr>
        <w:t xml:space="preserve"> one-step-ahead forecasting: Evaluation of alternative multi-step-ahead forecasting models for crude oil prices, Energy Economics</w:t>
      </w:r>
      <w:r w:rsidR="00732D41" w:rsidRPr="00474548">
        <w:rPr>
          <w:sz w:val="22"/>
          <w:szCs w:val="22"/>
          <w:lang w:val="en-US"/>
        </w:rPr>
        <w:t xml:space="preserve">, </w:t>
      </w:r>
      <w:r w:rsidR="008353F8" w:rsidRPr="00474548">
        <w:rPr>
          <w:sz w:val="22"/>
          <w:szCs w:val="22"/>
          <w:lang w:val="en-US"/>
        </w:rPr>
        <w:t>40, 504-415.</w:t>
      </w:r>
    </w:p>
    <w:p w14:paraId="4320E25F" w14:textId="2E3ABFA4" w:rsidR="008353F8" w:rsidRPr="009E7E22" w:rsidRDefault="008353F8" w:rsidP="005D1E75">
      <w:pPr>
        <w:ind w:left="720" w:hanging="720"/>
        <w:jc w:val="both"/>
        <w:rPr>
          <w:color w:val="000000" w:themeColor="text1"/>
          <w:sz w:val="22"/>
          <w:szCs w:val="22"/>
          <w:lang w:val="en-US"/>
        </w:rPr>
      </w:pPr>
      <w:proofErr w:type="spellStart"/>
      <w:r w:rsidRPr="00474548">
        <w:rPr>
          <w:rFonts w:eastAsiaTheme="minorEastAsia"/>
          <w:color w:val="000000"/>
          <w:kern w:val="0"/>
          <w:sz w:val="22"/>
          <w:szCs w:val="22"/>
          <w:lang w:val="en-US" w:eastAsia="en-US"/>
        </w:rPr>
        <w:t>Ziel</w:t>
      </w:r>
      <w:proofErr w:type="spellEnd"/>
      <w:r w:rsidRPr="00474548">
        <w:rPr>
          <w:rFonts w:eastAsiaTheme="minorEastAsia"/>
          <w:color w:val="000000"/>
          <w:kern w:val="0"/>
          <w:sz w:val="22"/>
          <w:szCs w:val="22"/>
          <w:lang w:val="en-US" w:eastAsia="en-US"/>
        </w:rPr>
        <w:t>,</w:t>
      </w:r>
      <w:r w:rsidR="006A0A0D" w:rsidRPr="00474548">
        <w:rPr>
          <w:rFonts w:eastAsiaTheme="minorEastAsia"/>
          <w:color w:val="000000"/>
          <w:kern w:val="0"/>
          <w:sz w:val="22"/>
          <w:szCs w:val="22"/>
          <w:lang w:val="en-US" w:eastAsia="en-US"/>
        </w:rPr>
        <w:t xml:space="preserve"> F., </w:t>
      </w:r>
      <w:proofErr w:type="spellStart"/>
      <w:r w:rsidR="006A0A0D" w:rsidRPr="00474548">
        <w:rPr>
          <w:rFonts w:eastAsiaTheme="minorEastAsia"/>
          <w:color w:val="000000"/>
          <w:kern w:val="0"/>
          <w:sz w:val="22"/>
          <w:szCs w:val="22"/>
          <w:lang w:val="en-US" w:eastAsia="en-US"/>
        </w:rPr>
        <w:t>Steinert</w:t>
      </w:r>
      <w:proofErr w:type="spellEnd"/>
      <w:r w:rsidR="006A0A0D" w:rsidRPr="00474548">
        <w:rPr>
          <w:rFonts w:eastAsiaTheme="minorEastAsia"/>
          <w:color w:val="000000"/>
          <w:kern w:val="0"/>
          <w:sz w:val="22"/>
          <w:szCs w:val="22"/>
          <w:lang w:val="en-US" w:eastAsia="en-US"/>
        </w:rPr>
        <w:t xml:space="preserve">, R., </w:t>
      </w:r>
      <w:proofErr w:type="spellStart"/>
      <w:r w:rsidR="006A0A0D" w:rsidRPr="00474548">
        <w:rPr>
          <w:rFonts w:eastAsiaTheme="minorEastAsia"/>
          <w:color w:val="000000"/>
          <w:kern w:val="0"/>
          <w:sz w:val="22"/>
          <w:szCs w:val="22"/>
          <w:lang w:val="en-US" w:eastAsia="en-US"/>
        </w:rPr>
        <w:t>Husmann</w:t>
      </w:r>
      <w:proofErr w:type="spellEnd"/>
      <w:r w:rsidR="006A0A0D" w:rsidRPr="00474548">
        <w:rPr>
          <w:rFonts w:eastAsiaTheme="minorEastAsia"/>
          <w:color w:val="000000"/>
          <w:kern w:val="0"/>
          <w:sz w:val="22"/>
          <w:szCs w:val="22"/>
          <w:lang w:val="en-US" w:eastAsia="en-US"/>
        </w:rPr>
        <w:t>, S. (2015),</w:t>
      </w:r>
      <w:r w:rsidRPr="00474548">
        <w:rPr>
          <w:rFonts w:eastAsiaTheme="minorEastAsia"/>
          <w:color w:val="000000"/>
          <w:kern w:val="0"/>
          <w:sz w:val="22"/>
          <w:szCs w:val="22"/>
          <w:lang w:val="en-US" w:eastAsia="en-US"/>
        </w:rPr>
        <w:t xml:space="preserve"> </w:t>
      </w:r>
      <w:r w:rsidRPr="00474548">
        <w:rPr>
          <w:rFonts w:eastAsiaTheme="minorEastAsia"/>
          <w:i/>
          <w:kern w:val="0"/>
          <w:sz w:val="22"/>
          <w:szCs w:val="22"/>
          <w:lang w:val="en-US" w:eastAsia="en-US"/>
        </w:rPr>
        <w:t>Efficient modeling and forecasting of electricity spot prices</w:t>
      </w:r>
      <w:r w:rsidR="00732D41" w:rsidRPr="00474548">
        <w:rPr>
          <w:rFonts w:eastAsiaTheme="minorEastAsia"/>
          <w:kern w:val="0"/>
          <w:sz w:val="22"/>
          <w:szCs w:val="22"/>
          <w:lang w:val="en-US" w:eastAsia="en-US"/>
        </w:rPr>
        <w:t>,</w:t>
      </w:r>
      <w:r w:rsidRPr="00474548">
        <w:rPr>
          <w:rFonts w:eastAsiaTheme="minorEastAsia"/>
          <w:kern w:val="0"/>
          <w:sz w:val="22"/>
          <w:szCs w:val="22"/>
          <w:lang w:val="en-US" w:eastAsia="en-US"/>
        </w:rPr>
        <w:t xml:space="preserve"> Energy Economics.</w:t>
      </w:r>
      <w:r w:rsidRPr="0099163B">
        <w:rPr>
          <w:rFonts w:eastAsiaTheme="minorEastAsia"/>
          <w:kern w:val="0"/>
          <w:sz w:val="22"/>
          <w:szCs w:val="22"/>
          <w:lang w:val="en-US" w:eastAsia="en-US"/>
        </w:rPr>
        <w:t xml:space="preserve"> 4</w:t>
      </w:r>
      <w:r w:rsidRPr="0041089F">
        <w:rPr>
          <w:rFonts w:eastAsiaTheme="minorEastAsia"/>
          <w:kern w:val="0"/>
          <w:sz w:val="22"/>
          <w:szCs w:val="22"/>
          <w:lang w:val="en-US" w:eastAsia="en-US"/>
        </w:rPr>
        <w:t>7, 98-111.</w:t>
      </w:r>
    </w:p>
    <w:sectPr w:rsidR="008353F8" w:rsidRPr="009E7E22" w:rsidSect="00972F69">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B8890" w15:done="0"/>
  <w15:commentEx w15:paraId="13071F70" w15:done="0"/>
  <w15:commentEx w15:paraId="5CCB3DCC" w15:done="0"/>
  <w15:commentEx w15:paraId="58BD163E" w15:done="0"/>
  <w15:commentEx w15:paraId="2EB94CC8" w15:done="0"/>
  <w15:commentEx w15:paraId="4037737C" w15:done="0"/>
  <w15:commentEx w15:paraId="06A482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3B752" w14:textId="77777777" w:rsidR="00BB2864" w:rsidRDefault="00BB2864" w:rsidP="001A45FD">
      <w:r>
        <w:separator/>
      </w:r>
    </w:p>
  </w:endnote>
  <w:endnote w:type="continuationSeparator" w:id="0">
    <w:p w14:paraId="5BA91AF3" w14:textId="77777777" w:rsidR="00BB2864" w:rsidRDefault="00BB2864" w:rsidP="001A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38858" w14:textId="77777777" w:rsidR="00BB2864" w:rsidRDefault="00BB2864" w:rsidP="001A45FD">
      <w:r>
        <w:separator/>
      </w:r>
    </w:p>
  </w:footnote>
  <w:footnote w:type="continuationSeparator" w:id="0">
    <w:p w14:paraId="7587475C" w14:textId="77777777" w:rsidR="00BB2864" w:rsidRDefault="00BB2864" w:rsidP="001A45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491A"/>
    <w:multiLevelType w:val="multilevel"/>
    <w:tmpl w:val="F7343E9C"/>
    <w:styleLink w:val="Estilo1"/>
    <w:lvl w:ilvl="0">
      <w:start w:val="2"/>
      <w:numFmt w:val="decimal"/>
      <w:lvlText w:val="%1."/>
      <w:lvlJc w:val="left"/>
      <w:pPr>
        <w:ind w:left="405" w:hanging="360"/>
      </w:pPr>
      <w:rPr>
        <w:rFonts w:hint="default"/>
      </w:rPr>
    </w:lvl>
    <w:lvl w:ilvl="1">
      <w:start w:val="3"/>
      <w:numFmt w:val="decimal"/>
      <w:isLgl/>
      <w:lvlText w:val="%1.%2"/>
      <w:lvlJc w:val="left"/>
      <w:pPr>
        <w:ind w:left="435" w:hanging="39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1845" w:hanging="1800"/>
      </w:pPr>
      <w:rPr>
        <w:rFonts w:hint="default"/>
      </w:rPr>
    </w:lvl>
  </w:abstractNum>
  <w:abstractNum w:abstractNumId="1">
    <w:nsid w:val="28E62F26"/>
    <w:multiLevelType w:val="hybridMultilevel"/>
    <w:tmpl w:val="EBE424FE"/>
    <w:lvl w:ilvl="0" w:tplc="8B6C5A0A">
      <w:start w:val="1"/>
      <w:numFmt w:val="decimal"/>
      <w:pStyle w:val="Heading1"/>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306907"/>
    <w:multiLevelType w:val="multilevel"/>
    <w:tmpl w:val="0416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2FA5DBC"/>
    <w:multiLevelType w:val="multilevel"/>
    <w:tmpl w:val="89D08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7E902B5"/>
    <w:multiLevelType w:val="hybridMultilevel"/>
    <w:tmpl w:val="28BAF5DA"/>
    <w:lvl w:ilvl="0" w:tplc="8BACB56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activeWritingStyle w:appName="MSWord" w:lang="en-US" w:vendorID="64" w:dllVersion="131078" w:nlCheck="1" w:checkStyle="0"/>
  <w:activeWritingStyle w:appName="MSWord" w:lang="en-GB" w:vendorID="64" w:dllVersion="131078" w:nlCheck="1" w:checkStyle="1"/>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5A"/>
    <w:rsid w:val="000024F5"/>
    <w:rsid w:val="00012261"/>
    <w:rsid w:val="00036FB8"/>
    <w:rsid w:val="00056230"/>
    <w:rsid w:val="00063108"/>
    <w:rsid w:val="00073C74"/>
    <w:rsid w:val="00084493"/>
    <w:rsid w:val="00086719"/>
    <w:rsid w:val="000A2F45"/>
    <w:rsid w:val="000A665E"/>
    <w:rsid w:val="000B150D"/>
    <w:rsid w:val="000B7B96"/>
    <w:rsid w:val="000C7BF5"/>
    <w:rsid w:val="000F7154"/>
    <w:rsid w:val="00102D9A"/>
    <w:rsid w:val="00122ED0"/>
    <w:rsid w:val="00124EEC"/>
    <w:rsid w:val="00125843"/>
    <w:rsid w:val="00150950"/>
    <w:rsid w:val="001529E5"/>
    <w:rsid w:val="00153335"/>
    <w:rsid w:val="00161167"/>
    <w:rsid w:val="00161194"/>
    <w:rsid w:val="00162168"/>
    <w:rsid w:val="001632E9"/>
    <w:rsid w:val="001634C9"/>
    <w:rsid w:val="00163E13"/>
    <w:rsid w:val="00165E80"/>
    <w:rsid w:val="001662D0"/>
    <w:rsid w:val="00167F47"/>
    <w:rsid w:val="0017087E"/>
    <w:rsid w:val="001809F1"/>
    <w:rsid w:val="001847D6"/>
    <w:rsid w:val="00192075"/>
    <w:rsid w:val="00194B65"/>
    <w:rsid w:val="00195364"/>
    <w:rsid w:val="001A45FD"/>
    <w:rsid w:val="001A5B8B"/>
    <w:rsid w:val="001B0A1A"/>
    <w:rsid w:val="001B1AC1"/>
    <w:rsid w:val="001B58AC"/>
    <w:rsid w:val="001C68D0"/>
    <w:rsid w:val="001C7A79"/>
    <w:rsid w:val="001E1046"/>
    <w:rsid w:val="001F2317"/>
    <w:rsid w:val="001F28D2"/>
    <w:rsid w:val="001F4105"/>
    <w:rsid w:val="001F5B4D"/>
    <w:rsid w:val="001F682B"/>
    <w:rsid w:val="002002D3"/>
    <w:rsid w:val="00201722"/>
    <w:rsid w:val="0021028A"/>
    <w:rsid w:val="00224B54"/>
    <w:rsid w:val="002314AE"/>
    <w:rsid w:val="00233823"/>
    <w:rsid w:val="00244C4F"/>
    <w:rsid w:val="00247092"/>
    <w:rsid w:val="00276EEE"/>
    <w:rsid w:val="0028064E"/>
    <w:rsid w:val="002806E7"/>
    <w:rsid w:val="002851FB"/>
    <w:rsid w:val="00294C28"/>
    <w:rsid w:val="002A6FB5"/>
    <w:rsid w:val="002B3256"/>
    <w:rsid w:val="002B4AEF"/>
    <w:rsid w:val="002D7695"/>
    <w:rsid w:val="002E7C86"/>
    <w:rsid w:val="00301467"/>
    <w:rsid w:val="00304F6B"/>
    <w:rsid w:val="00312475"/>
    <w:rsid w:val="00326CF2"/>
    <w:rsid w:val="003415E8"/>
    <w:rsid w:val="00355BA2"/>
    <w:rsid w:val="0035671A"/>
    <w:rsid w:val="003730FD"/>
    <w:rsid w:val="00377F77"/>
    <w:rsid w:val="00381F16"/>
    <w:rsid w:val="00396210"/>
    <w:rsid w:val="003A6525"/>
    <w:rsid w:val="003B0287"/>
    <w:rsid w:val="003B4CB2"/>
    <w:rsid w:val="003C385E"/>
    <w:rsid w:val="003C3FC8"/>
    <w:rsid w:val="003F17D3"/>
    <w:rsid w:val="003F2D6E"/>
    <w:rsid w:val="003F3BAC"/>
    <w:rsid w:val="003F5EF5"/>
    <w:rsid w:val="003F69D9"/>
    <w:rsid w:val="00400A43"/>
    <w:rsid w:val="00401D22"/>
    <w:rsid w:val="00403FBD"/>
    <w:rsid w:val="004043F0"/>
    <w:rsid w:val="0040465C"/>
    <w:rsid w:val="0041089F"/>
    <w:rsid w:val="00415DB4"/>
    <w:rsid w:val="00417A8A"/>
    <w:rsid w:val="00425AE1"/>
    <w:rsid w:val="00433F19"/>
    <w:rsid w:val="004430CF"/>
    <w:rsid w:val="00462E27"/>
    <w:rsid w:val="00470719"/>
    <w:rsid w:val="00474548"/>
    <w:rsid w:val="0048278B"/>
    <w:rsid w:val="004938A6"/>
    <w:rsid w:val="00493BDD"/>
    <w:rsid w:val="0049461B"/>
    <w:rsid w:val="004A0240"/>
    <w:rsid w:val="004C4C0E"/>
    <w:rsid w:val="004C5290"/>
    <w:rsid w:val="004E51E0"/>
    <w:rsid w:val="004F52A0"/>
    <w:rsid w:val="004F5D0A"/>
    <w:rsid w:val="00503D7A"/>
    <w:rsid w:val="005211DE"/>
    <w:rsid w:val="005367CE"/>
    <w:rsid w:val="00544055"/>
    <w:rsid w:val="00546546"/>
    <w:rsid w:val="00552608"/>
    <w:rsid w:val="00556E37"/>
    <w:rsid w:val="00562FA5"/>
    <w:rsid w:val="0057418C"/>
    <w:rsid w:val="00577D39"/>
    <w:rsid w:val="00586E18"/>
    <w:rsid w:val="005A3006"/>
    <w:rsid w:val="005A3289"/>
    <w:rsid w:val="005B605A"/>
    <w:rsid w:val="005D1E75"/>
    <w:rsid w:val="005D2747"/>
    <w:rsid w:val="005D7E42"/>
    <w:rsid w:val="005E2EEC"/>
    <w:rsid w:val="005E7ED4"/>
    <w:rsid w:val="005F245D"/>
    <w:rsid w:val="00607804"/>
    <w:rsid w:val="00611B33"/>
    <w:rsid w:val="00637BB3"/>
    <w:rsid w:val="006423A1"/>
    <w:rsid w:val="00644DA9"/>
    <w:rsid w:val="006547D2"/>
    <w:rsid w:val="00661A3A"/>
    <w:rsid w:val="006704DA"/>
    <w:rsid w:val="00671117"/>
    <w:rsid w:val="00671635"/>
    <w:rsid w:val="006813F2"/>
    <w:rsid w:val="00686F56"/>
    <w:rsid w:val="00690B0E"/>
    <w:rsid w:val="006956AE"/>
    <w:rsid w:val="006A0A0D"/>
    <w:rsid w:val="006A66C1"/>
    <w:rsid w:val="006B0D4F"/>
    <w:rsid w:val="006D0173"/>
    <w:rsid w:val="006D08FC"/>
    <w:rsid w:val="006D6567"/>
    <w:rsid w:val="006E641C"/>
    <w:rsid w:val="00706DC5"/>
    <w:rsid w:val="00716F81"/>
    <w:rsid w:val="00721B54"/>
    <w:rsid w:val="00722A57"/>
    <w:rsid w:val="00727509"/>
    <w:rsid w:val="0073001A"/>
    <w:rsid w:val="00732D41"/>
    <w:rsid w:val="00754103"/>
    <w:rsid w:val="0075496B"/>
    <w:rsid w:val="00760850"/>
    <w:rsid w:val="007649F3"/>
    <w:rsid w:val="00765120"/>
    <w:rsid w:val="007715D2"/>
    <w:rsid w:val="00773634"/>
    <w:rsid w:val="007820DE"/>
    <w:rsid w:val="007A1D53"/>
    <w:rsid w:val="007D2D47"/>
    <w:rsid w:val="007D59A5"/>
    <w:rsid w:val="007F6733"/>
    <w:rsid w:val="007F6CD7"/>
    <w:rsid w:val="00812573"/>
    <w:rsid w:val="008143B1"/>
    <w:rsid w:val="00820C25"/>
    <w:rsid w:val="008255AC"/>
    <w:rsid w:val="008353F8"/>
    <w:rsid w:val="00835660"/>
    <w:rsid w:val="008441FF"/>
    <w:rsid w:val="0087484D"/>
    <w:rsid w:val="00876707"/>
    <w:rsid w:val="008A5E49"/>
    <w:rsid w:val="008B067A"/>
    <w:rsid w:val="008B17DD"/>
    <w:rsid w:val="008B70E3"/>
    <w:rsid w:val="008D3DB1"/>
    <w:rsid w:val="008D484D"/>
    <w:rsid w:val="008E6F8E"/>
    <w:rsid w:val="008E78EC"/>
    <w:rsid w:val="008F3C33"/>
    <w:rsid w:val="008F4197"/>
    <w:rsid w:val="00901F5C"/>
    <w:rsid w:val="009245B2"/>
    <w:rsid w:val="00927775"/>
    <w:rsid w:val="00936E26"/>
    <w:rsid w:val="00937E9C"/>
    <w:rsid w:val="00944194"/>
    <w:rsid w:val="009447E5"/>
    <w:rsid w:val="009460DC"/>
    <w:rsid w:val="00951A9D"/>
    <w:rsid w:val="00965A1A"/>
    <w:rsid w:val="00967FCE"/>
    <w:rsid w:val="00972F69"/>
    <w:rsid w:val="00974B08"/>
    <w:rsid w:val="0099163B"/>
    <w:rsid w:val="00991799"/>
    <w:rsid w:val="00992C2F"/>
    <w:rsid w:val="009B39BF"/>
    <w:rsid w:val="009B56AE"/>
    <w:rsid w:val="009B6518"/>
    <w:rsid w:val="009C7240"/>
    <w:rsid w:val="009E37D9"/>
    <w:rsid w:val="009E6E2A"/>
    <w:rsid w:val="009E7C81"/>
    <w:rsid w:val="009E7E22"/>
    <w:rsid w:val="009F2C79"/>
    <w:rsid w:val="009F49FD"/>
    <w:rsid w:val="009F6A1F"/>
    <w:rsid w:val="00A000D1"/>
    <w:rsid w:val="00A02777"/>
    <w:rsid w:val="00A04C74"/>
    <w:rsid w:val="00A11F4D"/>
    <w:rsid w:val="00A23523"/>
    <w:rsid w:val="00A24B3D"/>
    <w:rsid w:val="00A261C2"/>
    <w:rsid w:val="00A42173"/>
    <w:rsid w:val="00A52292"/>
    <w:rsid w:val="00A55A98"/>
    <w:rsid w:val="00A70031"/>
    <w:rsid w:val="00A7128D"/>
    <w:rsid w:val="00A73AEC"/>
    <w:rsid w:val="00A7626D"/>
    <w:rsid w:val="00A8308C"/>
    <w:rsid w:val="00A87CDB"/>
    <w:rsid w:val="00A9583B"/>
    <w:rsid w:val="00AB10E8"/>
    <w:rsid w:val="00AC12D2"/>
    <w:rsid w:val="00AC55EF"/>
    <w:rsid w:val="00AD0D7A"/>
    <w:rsid w:val="00AD498A"/>
    <w:rsid w:val="00B107B4"/>
    <w:rsid w:val="00B10E75"/>
    <w:rsid w:val="00B11596"/>
    <w:rsid w:val="00B1197A"/>
    <w:rsid w:val="00B2146F"/>
    <w:rsid w:val="00B21DDD"/>
    <w:rsid w:val="00B37B95"/>
    <w:rsid w:val="00B46EB3"/>
    <w:rsid w:val="00B47541"/>
    <w:rsid w:val="00B55B16"/>
    <w:rsid w:val="00B61621"/>
    <w:rsid w:val="00B66123"/>
    <w:rsid w:val="00B736EF"/>
    <w:rsid w:val="00B81651"/>
    <w:rsid w:val="00B87213"/>
    <w:rsid w:val="00B9165B"/>
    <w:rsid w:val="00BA0F12"/>
    <w:rsid w:val="00BA23F0"/>
    <w:rsid w:val="00BA2C23"/>
    <w:rsid w:val="00BA38CC"/>
    <w:rsid w:val="00BA5A95"/>
    <w:rsid w:val="00BA7477"/>
    <w:rsid w:val="00BB27E6"/>
    <w:rsid w:val="00BB2864"/>
    <w:rsid w:val="00BB60E3"/>
    <w:rsid w:val="00BC0B64"/>
    <w:rsid w:val="00BC2E87"/>
    <w:rsid w:val="00BC3904"/>
    <w:rsid w:val="00BE45A7"/>
    <w:rsid w:val="00BE6064"/>
    <w:rsid w:val="00C023A1"/>
    <w:rsid w:val="00C10D4D"/>
    <w:rsid w:val="00C25AE2"/>
    <w:rsid w:val="00C26987"/>
    <w:rsid w:val="00C31BE0"/>
    <w:rsid w:val="00C33172"/>
    <w:rsid w:val="00C4152F"/>
    <w:rsid w:val="00C417DC"/>
    <w:rsid w:val="00C42C23"/>
    <w:rsid w:val="00C52A35"/>
    <w:rsid w:val="00C53CB5"/>
    <w:rsid w:val="00C645E6"/>
    <w:rsid w:val="00C84B80"/>
    <w:rsid w:val="00C87BFF"/>
    <w:rsid w:val="00C94010"/>
    <w:rsid w:val="00C94938"/>
    <w:rsid w:val="00CA5CA3"/>
    <w:rsid w:val="00CB2436"/>
    <w:rsid w:val="00CB4142"/>
    <w:rsid w:val="00CC2C09"/>
    <w:rsid w:val="00CD28F3"/>
    <w:rsid w:val="00CD3BA2"/>
    <w:rsid w:val="00CF1C31"/>
    <w:rsid w:val="00D000CC"/>
    <w:rsid w:val="00D034E3"/>
    <w:rsid w:val="00D06A87"/>
    <w:rsid w:val="00D1272A"/>
    <w:rsid w:val="00D32977"/>
    <w:rsid w:val="00D44EF0"/>
    <w:rsid w:val="00D51724"/>
    <w:rsid w:val="00D55EDD"/>
    <w:rsid w:val="00D60B83"/>
    <w:rsid w:val="00D77AB9"/>
    <w:rsid w:val="00D873B5"/>
    <w:rsid w:val="00D909C6"/>
    <w:rsid w:val="00D92381"/>
    <w:rsid w:val="00D929F4"/>
    <w:rsid w:val="00D935C5"/>
    <w:rsid w:val="00DA0684"/>
    <w:rsid w:val="00DA32FF"/>
    <w:rsid w:val="00DA66EB"/>
    <w:rsid w:val="00DC2611"/>
    <w:rsid w:val="00DC30A8"/>
    <w:rsid w:val="00DD43BC"/>
    <w:rsid w:val="00DE6959"/>
    <w:rsid w:val="00DF6301"/>
    <w:rsid w:val="00E1265B"/>
    <w:rsid w:val="00E17CE3"/>
    <w:rsid w:val="00E24804"/>
    <w:rsid w:val="00E260B5"/>
    <w:rsid w:val="00E27A81"/>
    <w:rsid w:val="00E46257"/>
    <w:rsid w:val="00E52E79"/>
    <w:rsid w:val="00E55F79"/>
    <w:rsid w:val="00E602A3"/>
    <w:rsid w:val="00E6401D"/>
    <w:rsid w:val="00E705B1"/>
    <w:rsid w:val="00E8579E"/>
    <w:rsid w:val="00EC3A3F"/>
    <w:rsid w:val="00EC5558"/>
    <w:rsid w:val="00EC6AE3"/>
    <w:rsid w:val="00EF4A61"/>
    <w:rsid w:val="00F02DE4"/>
    <w:rsid w:val="00F22811"/>
    <w:rsid w:val="00F26CB3"/>
    <w:rsid w:val="00F30E14"/>
    <w:rsid w:val="00F32912"/>
    <w:rsid w:val="00F54CA0"/>
    <w:rsid w:val="00F5546D"/>
    <w:rsid w:val="00F574F3"/>
    <w:rsid w:val="00F72179"/>
    <w:rsid w:val="00F851CE"/>
    <w:rsid w:val="00F8676B"/>
    <w:rsid w:val="00F86FBE"/>
    <w:rsid w:val="00F90137"/>
    <w:rsid w:val="00F91992"/>
    <w:rsid w:val="00FA1730"/>
    <w:rsid w:val="00FB0145"/>
    <w:rsid w:val="00FB416C"/>
    <w:rsid w:val="00FB45F2"/>
    <w:rsid w:val="00FC2E66"/>
    <w:rsid w:val="00FC75F3"/>
    <w:rsid w:val="00FE1930"/>
    <w:rsid w:val="00FF24B0"/>
    <w:rsid w:val="00FF2D6B"/>
  </w:rsids>
  <m:mathPr>
    <m:mathFont m:val="Cambria Math"/>
    <m:brkBin m:val="before"/>
    <m:brkBinSub m:val="--"/>
    <m:smallFrac m:val="0"/>
    <m:dispDef/>
    <m:lMargin m:val="0"/>
    <m:rMargin m:val="0"/>
    <m:defJc m:val="centerGroup"/>
    <m:wrapIndent m:val="1440"/>
    <m:intLim m:val="subSup"/>
    <m:naryLim m:val="undOvr"/>
  </m:mathPr>
  <w:themeFontLang w:val="pt-B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AA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Classic 4" w:uiPriority="0"/>
    <w:lsdException w:name="Table Colorful 2"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5A"/>
    <w:pPr>
      <w:widowControl w:val="0"/>
      <w:suppressAutoHyphens/>
    </w:pPr>
    <w:rPr>
      <w:rFonts w:ascii="Times New Roman" w:eastAsia="Arial Unicode MS" w:hAnsi="Times New Roman" w:cs="Times New Roman"/>
      <w:kern w:val="1"/>
    </w:rPr>
  </w:style>
  <w:style w:type="paragraph" w:styleId="Heading1">
    <w:name w:val="heading 1"/>
    <w:basedOn w:val="Normal"/>
    <w:next w:val="Normal"/>
    <w:link w:val="Heading1Char"/>
    <w:autoRedefine/>
    <w:uiPriority w:val="9"/>
    <w:qFormat/>
    <w:rsid w:val="005B605A"/>
    <w:pPr>
      <w:keepNext/>
      <w:numPr>
        <w:numId w:val="4"/>
      </w:numPr>
      <w:autoSpaceDE w:val="0"/>
      <w:autoSpaceDN w:val="0"/>
      <w:adjustRightInd w:val="0"/>
      <w:spacing w:before="240" w:after="60"/>
      <w:ind w:left="0" w:firstLine="0"/>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5B605A"/>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rPr>
  </w:style>
  <w:style w:type="paragraph" w:styleId="Heading3">
    <w:name w:val="heading 3"/>
    <w:basedOn w:val="Normal"/>
    <w:next w:val="Normal"/>
    <w:link w:val="Heading3Char"/>
    <w:uiPriority w:val="9"/>
    <w:unhideWhenUsed/>
    <w:qFormat/>
    <w:rsid w:val="005B605A"/>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05A"/>
    <w:rPr>
      <w:rFonts w:ascii="Times New Roman" w:eastAsia="Times New Roman" w:hAnsi="Times New Roman" w:cs="Times New Roman"/>
      <w:b/>
      <w:bCs/>
      <w:kern w:val="32"/>
      <w:szCs w:val="32"/>
      <w:lang w:eastAsia="en-GB"/>
    </w:rPr>
  </w:style>
  <w:style w:type="character" w:customStyle="1" w:styleId="Heading2Char">
    <w:name w:val="Heading 2 Char"/>
    <w:basedOn w:val="DefaultParagraphFont"/>
    <w:link w:val="Heading2"/>
    <w:uiPriority w:val="9"/>
    <w:rsid w:val="005B605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5B605A"/>
    <w:rPr>
      <w:rFonts w:asciiTheme="majorHAnsi" w:eastAsiaTheme="majorEastAsia" w:hAnsiTheme="majorHAnsi" w:cstheme="majorBidi"/>
      <w:b/>
      <w:bCs/>
      <w:color w:val="4F81BD" w:themeColor="accent1"/>
      <w:sz w:val="22"/>
      <w:szCs w:val="22"/>
      <w:lang w:eastAsia="en-GB"/>
    </w:rPr>
  </w:style>
  <w:style w:type="paragraph" w:styleId="BodyText">
    <w:name w:val="Body Text"/>
    <w:basedOn w:val="Normal"/>
    <w:link w:val="BodyTextChar"/>
    <w:rsid w:val="005B605A"/>
    <w:pPr>
      <w:jc w:val="center"/>
    </w:pPr>
    <w:rPr>
      <w:b/>
      <w:bCs/>
    </w:rPr>
  </w:style>
  <w:style w:type="character" w:customStyle="1" w:styleId="BodyTextChar">
    <w:name w:val="Body Text Char"/>
    <w:basedOn w:val="DefaultParagraphFont"/>
    <w:link w:val="BodyText"/>
    <w:rsid w:val="005B605A"/>
    <w:rPr>
      <w:rFonts w:ascii="Times New Roman" w:eastAsia="Arial Unicode MS" w:hAnsi="Times New Roman" w:cs="Times New Roman"/>
      <w:b/>
      <w:bCs/>
      <w:kern w:val="1"/>
      <w:lang w:eastAsia="en-GB"/>
    </w:rPr>
  </w:style>
  <w:style w:type="paragraph" w:styleId="Header">
    <w:name w:val="header"/>
    <w:basedOn w:val="Normal"/>
    <w:link w:val="HeaderChar"/>
    <w:uiPriority w:val="99"/>
    <w:rsid w:val="005B605A"/>
    <w:pPr>
      <w:tabs>
        <w:tab w:val="center" w:pos="4252"/>
        <w:tab w:val="right" w:pos="8504"/>
      </w:tabs>
    </w:pPr>
  </w:style>
  <w:style w:type="character" w:customStyle="1" w:styleId="HeaderChar">
    <w:name w:val="Header Char"/>
    <w:basedOn w:val="DefaultParagraphFont"/>
    <w:link w:val="Header"/>
    <w:uiPriority w:val="99"/>
    <w:rsid w:val="005B605A"/>
    <w:rPr>
      <w:rFonts w:ascii="Times New Roman" w:eastAsia="Arial Unicode MS" w:hAnsi="Times New Roman" w:cs="Times New Roman"/>
      <w:kern w:val="1"/>
      <w:lang w:eastAsia="en-GB"/>
    </w:rPr>
  </w:style>
  <w:style w:type="paragraph" w:styleId="Footer">
    <w:name w:val="footer"/>
    <w:basedOn w:val="Normal"/>
    <w:link w:val="FooterChar"/>
    <w:uiPriority w:val="99"/>
    <w:rsid w:val="005B605A"/>
    <w:pPr>
      <w:tabs>
        <w:tab w:val="center" w:pos="4252"/>
        <w:tab w:val="right" w:pos="8504"/>
      </w:tabs>
    </w:pPr>
  </w:style>
  <w:style w:type="character" w:customStyle="1" w:styleId="FooterChar">
    <w:name w:val="Footer Char"/>
    <w:basedOn w:val="DefaultParagraphFont"/>
    <w:link w:val="Footer"/>
    <w:uiPriority w:val="99"/>
    <w:rsid w:val="005B605A"/>
    <w:rPr>
      <w:rFonts w:ascii="Times New Roman" w:eastAsia="Arial Unicode MS" w:hAnsi="Times New Roman" w:cs="Times New Roman"/>
      <w:kern w:val="1"/>
      <w:lang w:eastAsia="en-GB"/>
    </w:rPr>
  </w:style>
  <w:style w:type="table" w:styleId="TableGrid">
    <w:name w:val="Table Grid"/>
    <w:basedOn w:val="TableNormal"/>
    <w:uiPriority w:val="59"/>
    <w:rsid w:val="005B605A"/>
    <w:pPr>
      <w:widowControl w:val="0"/>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DefaultParagraphFont"/>
    <w:rsid w:val="005B605A"/>
    <w:rPr>
      <w:sz w:val="20"/>
      <w:szCs w:val="20"/>
    </w:rPr>
  </w:style>
  <w:style w:type="paragraph" w:customStyle="1" w:styleId="Resumo">
    <w:name w:val="Resumo"/>
    <w:basedOn w:val="Normal"/>
    <w:rsid w:val="005B605A"/>
    <w:pPr>
      <w:suppressAutoHyphens w:val="0"/>
    </w:pPr>
    <w:rPr>
      <w:rFonts w:ascii="Arial" w:eastAsia="Times New Roman" w:hAnsi="Arial"/>
      <w:kern w:val="0"/>
    </w:rPr>
  </w:style>
  <w:style w:type="paragraph" w:styleId="ListParagraph">
    <w:name w:val="List Paragraph"/>
    <w:basedOn w:val="Normal"/>
    <w:uiPriority w:val="34"/>
    <w:qFormat/>
    <w:rsid w:val="005B605A"/>
    <w:pPr>
      <w:ind w:left="708"/>
    </w:pPr>
  </w:style>
  <w:style w:type="paragraph" w:styleId="BodyTextIndent">
    <w:name w:val="Body Text Indent"/>
    <w:basedOn w:val="Normal"/>
    <w:link w:val="BodyTextIndentChar"/>
    <w:rsid w:val="005B605A"/>
    <w:pPr>
      <w:spacing w:after="120"/>
      <w:ind w:left="283"/>
    </w:pPr>
  </w:style>
  <w:style w:type="character" w:customStyle="1" w:styleId="BodyTextIndentChar">
    <w:name w:val="Body Text Indent Char"/>
    <w:basedOn w:val="DefaultParagraphFont"/>
    <w:link w:val="BodyTextIndent"/>
    <w:rsid w:val="005B605A"/>
    <w:rPr>
      <w:rFonts w:ascii="Times New Roman" w:eastAsia="Arial Unicode MS" w:hAnsi="Times New Roman" w:cs="Times New Roman"/>
      <w:kern w:val="1"/>
      <w:lang w:eastAsia="en-GB"/>
    </w:rPr>
  </w:style>
  <w:style w:type="paragraph" w:customStyle="1" w:styleId="ndice">
    <w:name w:val="Índice"/>
    <w:basedOn w:val="Normal"/>
    <w:rsid w:val="005B605A"/>
    <w:pPr>
      <w:widowControl/>
      <w:suppressLineNumbers/>
      <w:spacing w:line="360" w:lineRule="auto"/>
      <w:ind w:firstLine="709"/>
      <w:jc w:val="both"/>
    </w:pPr>
    <w:rPr>
      <w:rFonts w:ascii="Arial" w:eastAsia="Times New Roman" w:hAnsi="Arial" w:cs="Tahoma"/>
      <w:kern w:val="0"/>
      <w:szCs w:val="20"/>
    </w:rPr>
  </w:style>
  <w:style w:type="character" w:styleId="Hyperlink">
    <w:name w:val="Hyperlink"/>
    <w:basedOn w:val="DefaultParagraphFont"/>
    <w:uiPriority w:val="99"/>
    <w:rsid w:val="005B605A"/>
    <w:rPr>
      <w:color w:val="0000FF"/>
      <w:u w:val="single"/>
    </w:rPr>
  </w:style>
  <w:style w:type="paragraph" w:styleId="NormalWeb">
    <w:name w:val="Normal (Web)"/>
    <w:basedOn w:val="Normal"/>
    <w:uiPriority w:val="99"/>
    <w:unhideWhenUsed/>
    <w:rsid w:val="005B605A"/>
    <w:pPr>
      <w:widowControl/>
      <w:suppressAutoHyphens w:val="0"/>
      <w:spacing w:before="100" w:beforeAutospacing="1" w:after="100" w:afterAutospacing="1"/>
    </w:pPr>
    <w:rPr>
      <w:rFonts w:eastAsia="Times New Roman"/>
      <w:kern w:val="0"/>
    </w:rPr>
  </w:style>
  <w:style w:type="paragraph" w:styleId="BalloonText">
    <w:name w:val="Balloon Text"/>
    <w:basedOn w:val="Normal"/>
    <w:link w:val="BalloonTextChar"/>
    <w:uiPriority w:val="99"/>
    <w:rsid w:val="005B605A"/>
    <w:rPr>
      <w:rFonts w:ascii="Tahoma" w:hAnsi="Tahoma" w:cs="Tahoma"/>
      <w:sz w:val="16"/>
      <w:szCs w:val="16"/>
    </w:rPr>
  </w:style>
  <w:style w:type="character" w:customStyle="1" w:styleId="BalloonTextChar">
    <w:name w:val="Balloon Text Char"/>
    <w:basedOn w:val="DefaultParagraphFont"/>
    <w:link w:val="BalloonText"/>
    <w:uiPriority w:val="99"/>
    <w:rsid w:val="005B605A"/>
    <w:rPr>
      <w:rFonts w:ascii="Tahoma" w:eastAsia="Arial Unicode MS" w:hAnsi="Tahoma" w:cs="Tahoma"/>
      <w:kern w:val="1"/>
      <w:sz w:val="16"/>
      <w:szCs w:val="16"/>
      <w:lang w:eastAsia="en-GB"/>
    </w:rPr>
  </w:style>
  <w:style w:type="character" w:customStyle="1" w:styleId="googqs-tidbit-2">
    <w:name w:val="goog_qs-tidbit-2"/>
    <w:basedOn w:val="DefaultParagraphFont"/>
    <w:rsid w:val="005B605A"/>
  </w:style>
  <w:style w:type="paragraph" w:styleId="Subtitle">
    <w:name w:val="Subtitle"/>
    <w:basedOn w:val="Normal"/>
    <w:next w:val="Normal"/>
    <w:link w:val="SubtitleChar"/>
    <w:qFormat/>
    <w:rsid w:val="005B605A"/>
    <w:pPr>
      <w:spacing w:after="60"/>
      <w:outlineLvl w:val="1"/>
    </w:pPr>
    <w:rPr>
      <w:rFonts w:ascii="Arial" w:eastAsia="Times New Roman" w:hAnsi="Arial"/>
    </w:rPr>
  </w:style>
  <w:style w:type="character" w:customStyle="1" w:styleId="SubtitleChar">
    <w:name w:val="Subtitle Char"/>
    <w:basedOn w:val="DefaultParagraphFont"/>
    <w:link w:val="Subtitle"/>
    <w:rsid w:val="005B605A"/>
    <w:rPr>
      <w:rFonts w:ascii="Arial" w:eastAsia="Times New Roman" w:hAnsi="Arial" w:cs="Times New Roman"/>
      <w:kern w:val="1"/>
      <w:lang w:eastAsia="en-GB"/>
    </w:rPr>
  </w:style>
  <w:style w:type="paragraph" w:styleId="TOCHeading">
    <w:name w:val="TOC Heading"/>
    <w:basedOn w:val="Heading1"/>
    <w:next w:val="Normal"/>
    <w:uiPriority w:val="39"/>
    <w:unhideWhenUsed/>
    <w:qFormat/>
    <w:rsid w:val="005B605A"/>
    <w:pPr>
      <w:keepLines/>
      <w:widowControl/>
      <w:suppressAutoHyphens w:val="0"/>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qFormat/>
    <w:rsid w:val="005B605A"/>
    <w:pPr>
      <w:tabs>
        <w:tab w:val="left" w:pos="440"/>
        <w:tab w:val="right" w:leader="dot" w:pos="9061"/>
      </w:tabs>
      <w:spacing w:line="360" w:lineRule="auto"/>
    </w:pPr>
    <w:rPr>
      <w:rFonts w:ascii="Arial" w:hAnsi="Arial" w:cs="Arial"/>
      <w:b/>
      <w:noProof/>
    </w:rPr>
  </w:style>
  <w:style w:type="paragraph" w:styleId="TOC2">
    <w:name w:val="toc 2"/>
    <w:basedOn w:val="Normal"/>
    <w:next w:val="Normal"/>
    <w:autoRedefine/>
    <w:uiPriority w:val="39"/>
    <w:qFormat/>
    <w:rsid w:val="005B605A"/>
    <w:pPr>
      <w:tabs>
        <w:tab w:val="right" w:leader="dot" w:pos="9061"/>
      </w:tabs>
      <w:spacing w:line="360" w:lineRule="auto"/>
    </w:pPr>
    <w:rPr>
      <w:rFonts w:ascii="Arial" w:hAnsi="Arial" w:cs="Arial"/>
      <w:noProof/>
    </w:rPr>
  </w:style>
  <w:style w:type="numbering" w:customStyle="1" w:styleId="Estilo1">
    <w:name w:val="Estilo1"/>
    <w:rsid w:val="005B605A"/>
    <w:pPr>
      <w:numPr>
        <w:numId w:val="1"/>
      </w:numPr>
    </w:pPr>
  </w:style>
  <w:style w:type="character" w:styleId="FootnoteReference">
    <w:name w:val="footnote reference"/>
    <w:uiPriority w:val="99"/>
    <w:rsid w:val="005B605A"/>
    <w:rPr>
      <w:color w:val="000000"/>
    </w:rPr>
  </w:style>
  <w:style w:type="character" w:styleId="CommentReference">
    <w:name w:val="annotation reference"/>
    <w:basedOn w:val="DefaultParagraphFont"/>
    <w:rsid w:val="005B605A"/>
    <w:rPr>
      <w:sz w:val="16"/>
      <w:szCs w:val="16"/>
    </w:rPr>
  </w:style>
  <w:style w:type="paragraph" w:styleId="CommentText">
    <w:name w:val="annotation text"/>
    <w:basedOn w:val="Normal"/>
    <w:link w:val="CommentTextChar"/>
    <w:rsid w:val="005B605A"/>
    <w:rPr>
      <w:sz w:val="20"/>
      <w:szCs w:val="20"/>
    </w:rPr>
  </w:style>
  <w:style w:type="character" w:customStyle="1" w:styleId="CommentTextChar">
    <w:name w:val="Comment Text Char"/>
    <w:basedOn w:val="DefaultParagraphFont"/>
    <w:link w:val="CommentText"/>
    <w:rsid w:val="005B605A"/>
    <w:rPr>
      <w:rFonts w:ascii="Times New Roman" w:eastAsia="Arial Unicode MS" w:hAnsi="Times New Roman" w:cs="Times New Roman"/>
      <w:kern w:val="1"/>
      <w:sz w:val="20"/>
      <w:szCs w:val="20"/>
      <w:lang w:eastAsia="en-GB"/>
    </w:rPr>
  </w:style>
  <w:style w:type="paragraph" w:styleId="CommentSubject">
    <w:name w:val="annotation subject"/>
    <w:basedOn w:val="CommentText"/>
    <w:next w:val="CommentText"/>
    <w:link w:val="CommentSubjectChar"/>
    <w:rsid w:val="005B605A"/>
    <w:rPr>
      <w:b/>
      <w:bCs/>
    </w:rPr>
  </w:style>
  <w:style w:type="character" w:customStyle="1" w:styleId="CommentSubjectChar">
    <w:name w:val="Comment Subject Char"/>
    <w:basedOn w:val="CommentTextChar"/>
    <w:link w:val="CommentSubject"/>
    <w:rsid w:val="005B605A"/>
    <w:rPr>
      <w:rFonts w:ascii="Times New Roman" w:eastAsia="Arial Unicode MS" w:hAnsi="Times New Roman" w:cs="Times New Roman"/>
      <w:b/>
      <w:bCs/>
      <w:kern w:val="1"/>
      <w:sz w:val="20"/>
      <w:szCs w:val="20"/>
      <w:lang w:eastAsia="en-GB"/>
    </w:rPr>
  </w:style>
  <w:style w:type="paragraph" w:styleId="TOC3">
    <w:name w:val="toc 3"/>
    <w:basedOn w:val="Normal"/>
    <w:next w:val="Normal"/>
    <w:autoRedefine/>
    <w:uiPriority w:val="39"/>
    <w:unhideWhenUsed/>
    <w:qFormat/>
    <w:rsid w:val="005B605A"/>
    <w:pPr>
      <w:widowControl/>
      <w:suppressAutoHyphens w:val="0"/>
      <w:spacing w:after="100" w:line="276" w:lineRule="auto"/>
      <w:ind w:left="440"/>
    </w:pPr>
    <w:rPr>
      <w:rFonts w:asciiTheme="minorHAnsi" w:eastAsiaTheme="minorEastAsia" w:hAnsiTheme="minorHAnsi" w:cstheme="minorBidi"/>
      <w:kern w:val="0"/>
      <w:sz w:val="22"/>
      <w:szCs w:val="22"/>
    </w:rPr>
  </w:style>
  <w:style w:type="character" w:customStyle="1" w:styleId="nw1">
    <w:name w:val="nw1"/>
    <w:basedOn w:val="DefaultParagraphFont"/>
    <w:uiPriority w:val="99"/>
    <w:rsid w:val="005B605A"/>
    <w:rPr>
      <w:rFonts w:cs="Times New Roman"/>
    </w:rPr>
  </w:style>
  <w:style w:type="paragraph" w:customStyle="1" w:styleId="EstiloJustificadoEspaamentoentrelinhas15linha">
    <w:name w:val="Estilo Justificado Espaçamento entre linhas:  15 linha"/>
    <w:basedOn w:val="Normal"/>
    <w:rsid w:val="005B605A"/>
    <w:pPr>
      <w:widowControl/>
      <w:suppressAutoHyphens w:val="0"/>
      <w:spacing w:line="360" w:lineRule="auto"/>
      <w:ind w:firstLine="567"/>
      <w:jc w:val="both"/>
    </w:pPr>
    <w:rPr>
      <w:rFonts w:eastAsia="Times New Roman"/>
      <w:kern w:val="0"/>
      <w:szCs w:val="20"/>
    </w:rPr>
  </w:style>
  <w:style w:type="paragraph" w:customStyle="1" w:styleId="SemEspaamento1">
    <w:name w:val="Sem Espaçamento1"/>
    <w:uiPriority w:val="99"/>
    <w:qFormat/>
    <w:rsid w:val="005B605A"/>
    <w:rPr>
      <w:rFonts w:ascii="Calibri" w:eastAsia="Calibri" w:hAnsi="Calibri" w:cs="Times New Roman"/>
      <w:sz w:val="22"/>
      <w:szCs w:val="22"/>
    </w:rPr>
  </w:style>
  <w:style w:type="paragraph" w:styleId="Revision">
    <w:name w:val="Revision"/>
    <w:hidden/>
    <w:uiPriority w:val="99"/>
    <w:semiHidden/>
    <w:rsid w:val="005B605A"/>
    <w:rPr>
      <w:rFonts w:ascii="Times New Roman" w:eastAsia="Arial Unicode MS" w:hAnsi="Times New Roman" w:cs="Times New Roman"/>
      <w:kern w:val="1"/>
    </w:rPr>
  </w:style>
  <w:style w:type="character" w:customStyle="1" w:styleId="apple-converted-space">
    <w:name w:val="apple-converted-space"/>
    <w:basedOn w:val="DefaultParagraphFont"/>
    <w:rsid w:val="005B605A"/>
  </w:style>
  <w:style w:type="character" w:styleId="Strong">
    <w:name w:val="Strong"/>
    <w:basedOn w:val="DefaultParagraphFont"/>
    <w:uiPriority w:val="22"/>
    <w:qFormat/>
    <w:rsid w:val="005B605A"/>
    <w:rPr>
      <w:b/>
      <w:bCs/>
    </w:rPr>
  </w:style>
  <w:style w:type="character" w:customStyle="1" w:styleId="rotulo">
    <w:name w:val="rotulo"/>
    <w:basedOn w:val="DefaultParagraphFont"/>
    <w:rsid w:val="005B605A"/>
  </w:style>
  <w:style w:type="character" w:customStyle="1" w:styleId="nomeproposicao">
    <w:name w:val="nomeproposicao"/>
    <w:basedOn w:val="DefaultParagraphFont"/>
    <w:rsid w:val="005B605A"/>
  </w:style>
  <w:style w:type="character" w:customStyle="1" w:styleId="hps">
    <w:name w:val="hps"/>
    <w:basedOn w:val="DefaultParagraphFont"/>
    <w:rsid w:val="005B605A"/>
    <w:rPr>
      <w:rFonts w:cs="Times New Roman"/>
    </w:rPr>
  </w:style>
  <w:style w:type="character" w:customStyle="1" w:styleId="atn">
    <w:name w:val="atn"/>
    <w:basedOn w:val="DefaultParagraphFont"/>
    <w:rsid w:val="005B605A"/>
  </w:style>
  <w:style w:type="paragraph" w:customStyle="1" w:styleId="Default">
    <w:name w:val="Default"/>
    <w:rsid w:val="005B605A"/>
    <w:pPr>
      <w:autoSpaceDE w:val="0"/>
      <w:autoSpaceDN w:val="0"/>
      <w:adjustRightInd w:val="0"/>
    </w:pPr>
    <w:rPr>
      <w:rFonts w:ascii="Times New Roman" w:eastAsia="Times New Roman" w:hAnsi="Times New Roman" w:cs="Times New Roman"/>
      <w:color w:val="000000"/>
    </w:rPr>
  </w:style>
  <w:style w:type="character" w:customStyle="1" w:styleId="mw-cite-backlink">
    <w:name w:val="mw-cite-backlink"/>
    <w:basedOn w:val="DefaultParagraphFont"/>
    <w:rsid w:val="005B605A"/>
  </w:style>
  <w:style w:type="character" w:customStyle="1" w:styleId="cite-accessibility-label">
    <w:name w:val="cite-accessibility-label"/>
    <w:basedOn w:val="DefaultParagraphFont"/>
    <w:rsid w:val="005B605A"/>
  </w:style>
  <w:style w:type="character" w:customStyle="1" w:styleId="reference-text">
    <w:name w:val="reference-text"/>
    <w:basedOn w:val="DefaultParagraphFont"/>
    <w:rsid w:val="005B605A"/>
  </w:style>
  <w:style w:type="character" w:styleId="PlaceholderText">
    <w:name w:val="Placeholder Text"/>
    <w:basedOn w:val="DefaultParagraphFont"/>
    <w:uiPriority w:val="99"/>
    <w:semiHidden/>
    <w:rsid w:val="005B605A"/>
    <w:rPr>
      <w:color w:val="808080"/>
    </w:rPr>
  </w:style>
  <w:style w:type="character" w:styleId="Emphasis">
    <w:name w:val="Emphasis"/>
    <w:basedOn w:val="DefaultParagraphFont"/>
    <w:uiPriority w:val="20"/>
    <w:qFormat/>
    <w:rsid w:val="005B605A"/>
    <w:rPr>
      <w:i/>
      <w:iCs/>
    </w:rPr>
  </w:style>
  <w:style w:type="character" w:customStyle="1" w:styleId="destacapalavras">
    <w:name w:val="destaca_palavras"/>
    <w:basedOn w:val="DefaultParagraphFont"/>
    <w:rsid w:val="005B605A"/>
  </w:style>
  <w:style w:type="paragraph" w:styleId="NoSpacing">
    <w:name w:val="No Spacing"/>
    <w:qFormat/>
    <w:rsid w:val="005B605A"/>
    <w:rPr>
      <w:rFonts w:eastAsiaTheme="minorHAnsi"/>
      <w:sz w:val="22"/>
      <w:szCs w:val="22"/>
    </w:rPr>
  </w:style>
  <w:style w:type="table" w:styleId="TableClassic4">
    <w:name w:val="Table Classic 4"/>
    <w:basedOn w:val="TableNormal"/>
    <w:rsid w:val="005B605A"/>
    <w:pPr>
      <w:widowControl w:val="0"/>
      <w:suppressAutoHyphens/>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5B605A"/>
    <w:pPr>
      <w:widowControl w:val="0"/>
      <w:suppressAutoHyphens/>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Shading">
    <w:name w:val="Light Shading"/>
    <w:basedOn w:val="TableNormal"/>
    <w:uiPriority w:val="60"/>
    <w:rsid w:val="005B605A"/>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dmd">
    <w:name w:val="addmd"/>
    <w:basedOn w:val="DefaultParagraphFont"/>
    <w:rsid w:val="005B605A"/>
  </w:style>
  <w:style w:type="paragraph" w:styleId="Caption">
    <w:name w:val="caption"/>
    <w:basedOn w:val="Normal"/>
    <w:next w:val="Normal"/>
    <w:unhideWhenUsed/>
    <w:qFormat/>
    <w:rsid w:val="005B605A"/>
    <w:pPr>
      <w:spacing w:after="200"/>
    </w:pPr>
    <w:rPr>
      <w:b/>
      <w:bCs/>
      <w:color w:val="4F81BD" w:themeColor="accent1"/>
      <w:sz w:val="18"/>
      <w:szCs w:val="18"/>
    </w:rPr>
  </w:style>
  <w:style w:type="paragraph" w:styleId="TableofFigures">
    <w:name w:val="table of figures"/>
    <w:basedOn w:val="Normal"/>
    <w:next w:val="Normal"/>
    <w:uiPriority w:val="99"/>
    <w:rsid w:val="005B605A"/>
    <w:pPr>
      <w:spacing w:before="120" w:after="120"/>
    </w:pPr>
    <w:rPr>
      <w:rFonts w:ascii="Arial" w:hAnsi="Arial"/>
    </w:rPr>
  </w:style>
  <w:style w:type="paragraph" w:styleId="Title">
    <w:name w:val="Title"/>
    <w:basedOn w:val="Normal"/>
    <w:next w:val="Normal"/>
    <w:link w:val="TitleChar"/>
    <w:qFormat/>
    <w:rsid w:val="005B60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605A"/>
    <w:rPr>
      <w:rFonts w:asciiTheme="majorHAnsi" w:eastAsiaTheme="majorEastAsia" w:hAnsiTheme="majorHAnsi" w:cstheme="majorBidi"/>
      <w:color w:val="17365D" w:themeColor="text2" w:themeShade="BF"/>
      <w:spacing w:val="5"/>
      <w:kern w:val="28"/>
      <w:sz w:val="52"/>
      <w:szCs w:val="52"/>
      <w:lang w:eastAsia="en-GB"/>
    </w:rPr>
  </w:style>
  <w:style w:type="paragraph" w:customStyle="1" w:styleId="Capa-FolhaDeRosto">
    <w:name w:val="Capa-Folha De Rosto"/>
    <w:basedOn w:val="Normal"/>
    <w:rsid w:val="005B605A"/>
    <w:pPr>
      <w:widowControl/>
      <w:suppressAutoHyphens w:val="0"/>
      <w:spacing w:line="360" w:lineRule="auto"/>
      <w:jc w:val="center"/>
    </w:pPr>
    <w:rPr>
      <w:rFonts w:ascii="Arial" w:eastAsia="Times New Roman" w:hAnsi="Arial"/>
      <w:b/>
      <w:caps/>
      <w:kern w:val="0"/>
      <w:szCs w:val="22"/>
    </w:rPr>
  </w:style>
  <w:style w:type="paragraph" w:customStyle="1" w:styleId="CF-NaturezadoTrabalho-Orientador">
    <w:name w:val="CF-Natureza do Trabalho-Orientador"/>
    <w:basedOn w:val="Normal"/>
    <w:qFormat/>
    <w:rsid w:val="005B605A"/>
    <w:pPr>
      <w:widowControl/>
      <w:suppressAutoHyphens w:val="0"/>
      <w:ind w:left="4536"/>
      <w:jc w:val="both"/>
    </w:pPr>
    <w:rPr>
      <w:rFonts w:ascii="Arial" w:eastAsia="Times New Roman" w:hAnsi="Arial"/>
      <w:kern w:val="0"/>
      <w:szCs w:val="22"/>
    </w:rPr>
  </w:style>
  <w:style w:type="paragraph" w:customStyle="1" w:styleId="FolhaAprov-NaturezaTrabalho">
    <w:name w:val="Folha Aprov-Natureza Trabalho"/>
    <w:basedOn w:val="Normal"/>
    <w:rsid w:val="005B605A"/>
    <w:pPr>
      <w:widowControl/>
      <w:suppressAutoHyphens w:val="0"/>
      <w:spacing w:line="360" w:lineRule="auto"/>
      <w:jc w:val="both"/>
    </w:pPr>
    <w:rPr>
      <w:rFonts w:ascii="Arial" w:eastAsia="Times New Roman" w:hAnsi="Arial"/>
      <w:kern w:val="0"/>
      <w:szCs w:val="22"/>
    </w:rPr>
  </w:style>
  <w:style w:type="paragraph" w:customStyle="1" w:styleId="FolhaAprov-BancaExaminadora">
    <w:name w:val="Folha Aprov-Banca Examinadora"/>
    <w:basedOn w:val="Normal"/>
    <w:rsid w:val="005B605A"/>
    <w:pPr>
      <w:widowControl/>
      <w:suppressAutoHyphens w:val="0"/>
      <w:spacing w:line="360" w:lineRule="auto"/>
      <w:jc w:val="center"/>
    </w:pPr>
    <w:rPr>
      <w:rFonts w:ascii="Arial" w:eastAsia="Times New Roman" w:hAnsi="Arial"/>
      <w:kern w:val="0"/>
      <w:szCs w:val="22"/>
    </w:rPr>
  </w:style>
  <w:style w:type="paragraph" w:customStyle="1" w:styleId="Dedicatria-Epigrafe">
    <w:name w:val="Dedicatória-Epigrafe"/>
    <w:basedOn w:val="Normal"/>
    <w:rsid w:val="005B605A"/>
    <w:pPr>
      <w:widowControl/>
      <w:suppressAutoHyphens w:val="0"/>
      <w:spacing w:line="360" w:lineRule="auto"/>
      <w:ind w:left="4536"/>
      <w:jc w:val="right"/>
    </w:pPr>
    <w:rPr>
      <w:rFonts w:ascii="Arial" w:eastAsia="Times New Roman" w:hAnsi="Arial"/>
      <w:kern w:val="0"/>
      <w:szCs w:val="22"/>
    </w:rPr>
  </w:style>
  <w:style w:type="paragraph" w:customStyle="1" w:styleId="Texto">
    <w:name w:val="Texto"/>
    <w:basedOn w:val="Normal"/>
    <w:qFormat/>
    <w:rsid w:val="005B605A"/>
    <w:pPr>
      <w:widowControl/>
      <w:suppressAutoHyphens w:val="0"/>
      <w:spacing w:line="360" w:lineRule="auto"/>
      <w:ind w:firstLine="709"/>
      <w:jc w:val="both"/>
    </w:pPr>
    <w:rPr>
      <w:rFonts w:ascii="Arial" w:eastAsia="Times New Roman" w:hAnsi="Arial"/>
      <w:kern w:val="0"/>
      <w:szCs w:val="22"/>
    </w:rPr>
  </w:style>
  <w:style w:type="paragraph" w:customStyle="1" w:styleId="Resumo-Texto">
    <w:name w:val="Resumo-Texto"/>
    <w:basedOn w:val="Normal"/>
    <w:rsid w:val="005B605A"/>
    <w:pPr>
      <w:widowControl/>
      <w:suppressAutoHyphens w:val="0"/>
      <w:jc w:val="both"/>
    </w:pPr>
    <w:rPr>
      <w:rFonts w:ascii="Arial" w:eastAsia="Times New Roman" w:hAnsi="Arial"/>
      <w:kern w:val="0"/>
      <w:szCs w:val="22"/>
    </w:rPr>
  </w:style>
  <w:style w:type="numbering" w:customStyle="1" w:styleId="Estilo2">
    <w:name w:val="Estilo2"/>
    <w:uiPriority w:val="99"/>
    <w:rsid w:val="005B605A"/>
    <w:pPr>
      <w:numPr>
        <w:numId w:val="3"/>
      </w:numPr>
    </w:pPr>
  </w:style>
  <w:style w:type="paragraph" w:customStyle="1" w:styleId="articledetails">
    <w:name w:val="articledetails"/>
    <w:basedOn w:val="Normal"/>
    <w:rsid w:val="005B605A"/>
    <w:pPr>
      <w:widowControl/>
      <w:suppressAutoHyphens w:val="0"/>
      <w:spacing w:before="100" w:beforeAutospacing="1" w:after="100" w:afterAutospacing="1"/>
    </w:pPr>
    <w:rPr>
      <w:rFonts w:eastAsia="Times New Roman"/>
      <w:kern w:val="0"/>
    </w:rPr>
  </w:style>
  <w:style w:type="character" w:styleId="HTMLCite">
    <w:name w:val="HTML Cite"/>
    <w:basedOn w:val="DefaultParagraphFont"/>
    <w:uiPriority w:val="99"/>
    <w:unhideWhenUsed/>
    <w:rsid w:val="005B605A"/>
    <w:rPr>
      <w:i/>
      <w:iCs/>
    </w:rPr>
  </w:style>
  <w:style w:type="character" w:styleId="FollowedHyperlink">
    <w:name w:val="FollowedHyperlink"/>
    <w:basedOn w:val="DefaultParagraphFont"/>
    <w:uiPriority w:val="99"/>
    <w:semiHidden/>
    <w:unhideWhenUsed/>
    <w:rsid w:val="00E17CE3"/>
    <w:rPr>
      <w:color w:val="800080" w:themeColor="followedHyperlink"/>
      <w:u w:val="single"/>
    </w:rPr>
  </w:style>
  <w:style w:type="character" w:customStyle="1" w:styleId="shorttext">
    <w:name w:val="short_text"/>
    <w:basedOn w:val="DefaultParagraphFont"/>
    <w:rsid w:val="000024F5"/>
  </w:style>
  <w:style w:type="paragraph" w:styleId="FootnoteText">
    <w:name w:val="footnote text"/>
    <w:basedOn w:val="Normal"/>
    <w:link w:val="FootnoteTextChar"/>
    <w:uiPriority w:val="99"/>
    <w:unhideWhenUsed/>
    <w:rsid w:val="005D7E42"/>
  </w:style>
  <w:style w:type="character" w:customStyle="1" w:styleId="FootnoteTextChar">
    <w:name w:val="Footnote Text Char"/>
    <w:basedOn w:val="DefaultParagraphFont"/>
    <w:link w:val="FootnoteText"/>
    <w:uiPriority w:val="99"/>
    <w:rsid w:val="005D7E42"/>
    <w:rPr>
      <w:rFonts w:ascii="Times New Roman" w:eastAsia="Arial Unicode MS" w:hAnsi="Times New Roman" w:cs="Times New Roman"/>
      <w:kern w:val="1"/>
    </w:rPr>
  </w:style>
  <w:style w:type="table" w:styleId="LightShading-Accent1">
    <w:name w:val="Light Shading Accent 1"/>
    <w:basedOn w:val="TableNormal"/>
    <w:uiPriority w:val="60"/>
    <w:rsid w:val="008E78E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78E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78E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78E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Classic 4" w:uiPriority="0"/>
    <w:lsdException w:name="Table Colorful 2"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5A"/>
    <w:pPr>
      <w:widowControl w:val="0"/>
      <w:suppressAutoHyphens/>
    </w:pPr>
    <w:rPr>
      <w:rFonts w:ascii="Times New Roman" w:eastAsia="Arial Unicode MS" w:hAnsi="Times New Roman" w:cs="Times New Roman"/>
      <w:kern w:val="1"/>
    </w:rPr>
  </w:style>
  <w:style w:type="paragraph" w:styleId="Heading1">
    <w:name w:val="heading 1"/>
    <w:basedOn w:val="Normal"/>
    <w:next w:val="Normal"/>
    <w:link w:val="Heading1Char"/>
    <w:autoRedefine/>
    <w:uiPriority w:val="9"/>
    <w:qFormat/>
    <w:rsid w:val="005B605A"/>
    <w:pPr>
      <w:keepNext/>
      <w:numPr>
        <w:numId w:val="4"/>
      </w:numPr>
      <w:autoSpaceDE w:val="0"/>
      <w:autoSpaceDN w:val="0"/>
      <w:adjustRightInd w:val="0"/>
      <w:spacing w:before="240" w:after="60"/>
      <w:ind w:left="0" w:firstLine="0"/>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5B605A"/>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rPr>
  </w:style>
  <w:style w:type="paragraph" w:styleId="Heading3">
    <w:name w:val="heading 3"/>
    <w:basedOn w:val="Normal"/>
    <w:next w:val="Normal"/>
    <w:link w:val="Heading3Char"/>
    <w:uiPriority w:val="9"/>
    <w:unhideWhenUsed/>
    <w:qFormat/>
    <w:rsid w:val="005B605A"/>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05A"/>
    <w:rPr>
      <w:rFonts w:ascii="Times New Roman" w:eastAsia="Times New Roman" w:hAnsi="Times New Roman" w:cs="Times New Roman"/>
      <w:b/>
      <w:bCs/>
      <w:kern w:val="32"/>
      <w:szCs w:val="32"/>
      <w:lang w:eastAsia="en-GB"/>
    </w:rPr>
  </w:style>
  <w:style w:type="character" w:customStyle="1" w:styleId="Heading2Char">
    <w:name w:val="Heading 2 Char"/>
    <w:basedOn w:val="DefaultParagraphFont"/>
    <w:link w:val="Heading2"/>
    <w:uiPriority w:val="9"/>
    <w:rsid w:val="005B605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5B605A"/>
    <w:rPr>
      <w:rFonts w:asciiTheme="majorHAnsi" w:eastAsiaTheme="majorEastAsia" w:hAnsiTheme="majorHAnsi" w:cstheme="majorBidi"/>
      <w:b/>
      <w:bCs/>
      <w:color w:val="4F81BD" w:themeColor="accent1"/>
      <w:sz w:val="22"/>
      <w:szCs w:val="22"/>
      <w:lang w:eastAsia="en-GB"/>
    </w:rPr>
  </w:style>
  <w:style w:type="paragraph" w:styleId="BodyText">
    <w:name w:val="Body Text"/>
    <w:basedOn w:val="Normal"/>
    <w:link w:val="BodyTextChar"/>
    <w:rsid w:val="005B605A"/>
    <w:pPr>
      <w:jc w:val="center"/>
    </w:pPr>
    <w:rPr>
      <w:b/>
      <w:bCs/>
    </w:rPr>
  </w:style>
  <w:style w:type="character" w:customStyle="1" w:styleId="BodyTextChar">
    <w:name w:val="Body Text Char"/>
    <w:basedOn w:val="DefaultParagraphFont"/>
    <w:link w:val="BodyText"/>
    <w:rsid w:val="005B605A"/>
    <w:rPr>
      <w:rFonts w:ascii="Times New Roman" w:eastAsia="Arial Unicode MS" w:hAnsi="Times New Roman" w:cs="Times New Roman"/>
      <w:b/>
      <w:bCs/>
      <w:kern w:val="1"/>
      <w:lang w:eastAsia="en-GB"/>
    </w:rPr>
  </w:style>
  <w:style w:type="paragraph" w:styleId="Header">
    <w:name w:val="header"/>
    <w:basedOn w:val="Normal"/>
    <w:link w:val="HeaderChar"/>
    <w:uiPriority w:val="99"/>
    <w:rsid w:val="005B605A"/>
    <w:pPr>
      <w:tabs>
        <w:tab w:val="center" w:pos="4252"/>
        <w:tab w:val="right" w:pos="8504"/>
      </w:tabs>
    </w:pPr>
  </w:style>
  <w:style w:type="character" w:customStyle="1" w:styleId="HeaderChar">
    <w:name w:val="Header Char"/>
    <w:basedOn w:val="DefaultParagraphFont"/>
    <w:link w:val="Header"/>
    <w:uiPriority w:val="99"/>
    <w:rsid w:val="005B605A"/>
    <w:rPr>
      <w:rFonts w:ascii="Times New Roman" w:eastAsia="Arial Unicode MS" w:hAnsi="Times New Roman" w:cs="Times New Roman"/>
      <w:kern w:val="1"/>
      <w:lang w:eastAsia="en-GB"/>
    </w:rPr>
  </w:style>
  <w:style w:type="paragraph" w:styleId="Footer">
    <w:name w:val="footer"/>
    <w:basedOn w:val="Normal"/>
    <w:link w:val="FooterChar"/>
    <w:uiPriority w:val="99"/>
    <w:rsid w:val="005B605A"/>
    <w:pPr>
      <w:tabs>
        <w:tab w:val="center" w:pos="4252"/>
        <w:tab w:val="right" w:pos="8504"/>
      </w:tabs>
    </w:pPr>
  </w:style>
  <w:style w:type="character" w:customStyle="1" w:styleId="FooterChar">
    <w:name w:val="Footer Char"/>
    <w:basedOn w:val="DefaultParagraphFont"/>
    <w:link w:val="Footer"/>
    <w:uiPriority w:val="99"/>
    <w:rsid w:val="005B605A"/>
    <w:rPr>
      <w:rFonts w:ascii="Times New Roman" w:eastAsia="Arial Unicode MS" w:hAnsi="Times New Roman" w:cs="Times New Roman"/>
      <w:kern w:val="1"/>
      <w:lang w:eastAsia="en-GB"/>
    </w:rPr>
  </w:style>
  <w:style w:type="table" w:styleId="TableGrid">
    <w:name w:val="Table Grid"/>
    <w:basedOn w:val="TableNormal"/>
    <w:uiPriority w:val="59"/>
    <w:rsid w:val="005B605A"/>
    <w:pPr>
      <w:widowControl w:val="0"/>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DefaultParagraphFont"/>
    <w:rsid w:val="005B605A"/>
    <w:rPr>
      <w:sz w:val="20"/>
      <w:szCs w:val="20"/>
    </w:rPr>
  </w:style>
  <w:style w:type="paragraph" w:customStyle="1" w:styleId="Resumo">
    <w:name w:val="Resumo"/>
    <w:basedOn w:val="Normal"/>
    <w:rsid w:val="005B605A"/>
    <w:pPr>
      <w:suppressAutoHyphens w:val="0"/>
    </w:pPr>
    <w:rPr>
      <w:rFonts w:ascii="Arial" w:eastAsia="Times New Roman" w:hAnsi="Arial"/>
      <w:kern w:val="0"/>
    </w:rPr>
  </w:style>
  <w:style w:type="paragraph" w:styleId="ListParagraph">
    <w:name w:val="List Paragraph"/>
    <w:basedOn w:val="Normal"/>
    <w:uiPriority w:val="34"/>
    <w:qFormat/>
    <w:rsid w:val="005B605A"/>
    <w:pPr>
      <w:ind w:left="708"/>
    </w:pPr>
  </w:style>
  <w:style w:type="paragraph" w:styleId="BodyTextIndent">
    <w:name w:val="Body Text Indent"/>
    <w:basedOn w:val="Normal"/>
    <w:link w:val="BodyTextIndentChar"/>
    <w:rsid w:val="005B605A"/>
    <w:pPr>
      <w:spacing w:after="120"/>
      <w:ind w:left="283"/>
    </w:pPr>
  </w:style>
  <w:style w:type="character" w:customStyle="1" w:styleId="BodyTextIndentChar">
    <w:name w:val="Body Text Indent Char"/>
    <w:basedOn w:val="DefaultParagraphFont"/>
    <w:link w:val="BodyTextIndent"/>
    <w:rsid w:val="005B605A"/>
    <w:rPr>
      <w:rFonts w:ascii="Times New Roman" w:eastAsia="Arial Unicode MS" w:hAnsi="Times New Roman" w:cs="Times New Roman"/>
      <w:kern w:val="1"/>
      <w:lang w:eastAsia="en-GB"/>
    </w:rPr>
  </w:style>
  <w:style w:type="paragraph" w:customStyle="1" w:styleId="ndice">
    <w:name w:val="Índice"/>
    <w:basedOn w:val="Normal"/>
    <w:rsid w:val="005B605A"/>
    <w:pPr>
      <w:widowControl/>
      <w:suppressLineNumbers/>
      <w:spacing w:line="360" w:lineRule="auto"/>
      <w:ind w:firstLine="709"/>
      <w:jc w:val="both"/>
    </w:pPr>
    <w:rPr>
      <w:rFonts w:ascii="Arial" w:eastAsia="Times New Roman" w:hAnsi="Arial" w:cs="Tahoma"/>
      <w:kern w:val="0"/>
      <w:szCs w:val="20"/>
    </w:rPr>
  </w:style>
  <w:style w:type="character" w:styleId="Hyperlink">
    <w:name w:val="Hyperlink"/>
    <w:basedOn w:val="DefaultParagraphFont"/>
    <w:uiPriority w:val="99"/>
    <w:rsid w:val="005B605A"/>
    <w:rPr>
      <w:color w:val="0000FF"/>
      <w:u w:val="single"/>
    </w:rPr>
  </w:style>
  <w:style w:type="paragraph" w:styleId="NormalWeb">
    <w:name w:val="Normal (Web)"/>
    <w:basedOn w:val="Normal"/>
    <w:uiPriority w:val="99"/>
    <w:unhideWhenUsed/>
    <w:rsid w:val="005B605A"/>
    <w:pPr>
      <w:widowControl/>
      <w:suppressAutoHyphens w:val="0"/>
      <w:spacing w:before="100" w:beforeAutospacing="1" w:after="100" w:afterAutospacing="1"/>
    </w:pPr>
    <w:rPr>
      <w:rFonts w:eastAsia="Times New Roman"/>
      <w:kern w:val="0"/>
    </w:rPr>
  </w:style>
  <w:style w:type="paragraph" w:styleId="BalloonText">
    <w:name w:val="Balloon Text"/>
    <w:basedOn w:val="Normal"/>
    <w:link w:val="BalloonTextChar"/>
    <w:uiPriority w:val="99"/>
    <w:rsid w:val="005B605A"/>
    <w:rPr>
      <w:rFonts w:ascii="Tahoma" w:hAnsi="Tahoma" w:cs="Tahoma"/>
      <w:sz w:val="16"/>
      <w:szCs w:val="16"/>
    </w:rPr>
  </w:style>
  <w:style w:type="character" w:customStyle="1" w:styleId="BalloonTextChar">
    <w:name w:val="Balloon Text Char"/>
    <w:basedOn w:val="DefaultParagraphFont"/>
    <w:link w:val="BalloonText"/>
    <w:uiPriority w:val="99"/>
    <w:rsid w:val="005B605A"/>
    <w:rPr>
      <w:rFonts w:ascii="Tahoma" w:eastAsia="Arial Unicode MS" w:hAnsi="Tahoma" w:cs="Tahoma"/>
      <w:kern w:val="1"/>
      <w:sz w:val="16"/>
      <w:szCs w:val="16"/>
      <w:lang w:eastAsia="en-GB"/>
    </w:rPr>
  </w:style>
  <w:style w:type="character" w:customStyle="1" w:styleId="googqs-tidbit-2">
    <w:name w:val="goog_qs-tidbit-2"/>
    <w:basedOn w:val="DefaultParagraphFont"/>
    <w:rsid w:val="005B605A"/>
  </w:style>
  <w:style w:type="paragraph" w:styleId="Subtitle">
    <w:name w:val="Subtitle"/>
    <w:basedOn w:val="Normal"/>
    <w:next w:val="Normal"/>
    <w:link w:val="SubtitleChar"/>
    <w:qFormat/>
    <w:rsid w:val="005B605A"/>
    <w:pPr>
      <w:spacing w:after="60"/>
      <w:outlineLvl w:val="1"/>
    </w:pPr>
    <w:rPr>
      <w:rFonts w:ascii="Arial" w:eastAsia="Times New Roman" w:hAnsi="Arial"/>
    </w:rPr>
  </w:style>
  <w:style w:type="character" w:customStyle="1" w:styleId="SubtitleChar">
    <w:name w:val="Subtitle Char"/>
    <w:basedOn w:val="DefaultParagraphFont"/>
    <w:link w:val="Subtitle"/>
    <w:rsid w:val="005B605A"/>
    <w:rPr>
      <w:rFonts w:ascii="Arial" w:eastAsia="Times New Roman" w:hAnsi="Arial" w:cs="Times New Roman"/>
      <w:kern w:val="1"/>
      <w:lang w:eastAsia="en-GB"/>
    </w:rPr>
  </w:style>
  <w:style w:type="paragraph" w:styleId="TOCHeading">
    <w:name w:val="TOC Heading"/>
    <w:basedOn w:val="Heading1"/>
    <w:next w:val="Normal"/>
    <w:uiPriority w:val="39"/>
    <w:unhideWhenUsed/>
    <w:qFormat/>
    <w:rsid w:val="005B605A"/>
    <w:pPr>
      <w:keepLines/>
      <w:widowControl/>
      <w:suppressAutoHyphens w:val="0"/>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qFormat/>
    <w:rsid w:val="005B605A"/>
    <w:pPr>
      <w:tabs>
        <w:tab w:val="left" w:pos="440"/>
        <w:tab w:val="right" w:leader="dot" w:pos="9061"/>
      </w:tabs>
      <w:spacing w:line="360" w:lineRule="auto"/>
    </w:pPr>
    <w:rPr>
      <w:rFonts w:ascii="Arial" w:hAnsi="Arial" w:cs="Arial"/>
      <w:b/>
      <w:noProof/>
    </w:rPr>
  </w:style>
  <w:style w:type="paragraph" w:styleId="TOC2">
    <w:name w:val="toc 2"/>
    <w:basedOn w:val="Normal"/>
    <w:next w:val="Normal"/>
    <w:autoRedefine/>
    <w:uiPriority w:val="39"/>
    <w:qFormat/>
    <w:rsid w:val="005B605A"/>
    <w:pPr>
      <w:tabs>
        <w:tab w:val="right" w:leader="dot" w:pos="9061"/>
      </w:tabs>
      <w:spacing w:line="360" w:lineRule="auto"/>
    </w:pPr>
    <w:rPr>
      <w:rFonts w:ascii="Arial" w:hAnsi="Arial" w:cs="Arial"/>
      <w:noProof/>
    </w:rPr>
  </w:style>
  <w:style w:type="numbering" w:customStyle="1" w:styleId="Estilo1">
    <w:name w:val="Estilo1"/>
    <w:rsid w:val="005B605A"/>
    <w:pPr>
      <w:numPr>
        <w:numId w:val="1"/>
      </w:numPr>
    </w:pPr>
  </w:style>
  <w:style w:type="character" w:styleId="FootnoteReference">
    <w:name w:val="footnote reference"/>
    <w:uiPriority w:val="99"/>
    <w:rsid w:val="005B605A"/>
    <w:rPr>
      <w:color w:val="000000"/>
    </w:rPr>
  </w:style>
  <w:style w:type="character" w:styleId="CommentReference">
    <w:name w:val="annotation reference"/>
    <w:basedOn w:val="DefaultParagraphFont"/>
    <w:rsid w:val="005B605A"/>
    <w:rPr>
      <w:sz w:val="16"/>
      <w:szCs w:val="16"/>
    </w:rPr>
  </w:style>
  <w:style w:type="paragraph" w:styleId="CommentText">
    <w:name w:val="annotation text"/>
    <w:basedOn w:val="Normal"/>
    <w:link w:val="CommentTextChar"/>
    <w:rsid w:val="005B605A"/>
    <w:rPr>
      <w:sz w:val="20"/>
      <w:szCs w:val="20"/>
    </w:rPr>
  </w:style>
  <w:style w:type="character" w:customStyle="1" w:styleId="CommentTextChar">
    <w:name w:val="Comment Text Char"/>
    <w:basedOn w:val="DefaultParagraphFont"/>
    <w:link w:val="CommentText"/>
    <w:rsid w:val="005B605A"/>
    <w:rPr>
      <w:rFonts w:ascii="Times New Roman" w:eastAsia="Arial Unicode MS" w:hAnsi="Times New Roman" w:cs="Times New Roman"/>
      <w:kern w:val="1"/>
      <w:sz w:val="20"/>
      <w:szCs w:val="20"/>
      <w:lang w:eastAsia="en-GB"/>
    </w:rPr>
  </w:style>
  <w:style w:type="paragraph" w:styleId="CommentSubject">
    <w:name w:val="annotation subject"/>
    <w:basedOn w:val="CommentText"/>
    <w:next w:val="CommentText"/>
    <w:link w:val="CommentSubjectChar"/>
    <w:rsid w:val="005B605A"/>
    <w:rPr>
      <w:b/>
      <w:bCs/>
    </w:rPr>
  </w:style>
  <w:style w:type="character" w:customStyle="1" w:styleId="CommentSubjectChar">
    <w:name w:val="Comment Subject Char"/>
    <w:basedOn w:val="CommentTextChar"/>
    <w:link w:val="CommentSubject"/>
    <w:rsid w:val="005B605A"/>
    <w:rPr>
      <w:rFonts w:ascii="Times New Roman" w:eastAsia="Arial Unicode MS" w:hAnsi="Times New Roman" w:cs="Times New Roman"/>
      <w:b/>
      <w:bCs/>
      <w:kern w:val="1"/>
      <w:sz w:val="20"/>
      <w:szCs w:val="20"/>
      <w:lang w:eastAsia="en-GB"/>
    </w:rPr>
  </w:style>
  <w:style w:type="paragraph" w:styleId="TOC3">
    <w:name w:val="toc 3"/>
    <w:basedOn w:val="Normal"/>
    <w:next w:val="Normal"/>
    <w:autoRedefine/>
    <w:uiPriority w:val="39"/>
    <w:unhideWhenUsed/>
    <w:qFormat/>
    <w:rsid w:val="005B605A"/>
    <w:pPr>
      <w:widowControl/>
      <w:suppressAutoHyphens w:val="0"/>
      <w:spacing w:after="100" w:line="276" w:lineRule="auto"/>
      <w:ind w:left="440"/>
    </w:pPr>
    <w:rPr>
      <w:rFonts w:asciiTheme="minorHAnsi" w:eastAsiaTheme="minorEastAsia" w:hAnsiTheme="minorHAnsi" w:cstheme="minorBidi"/>
      <w:kern w:val="0"/>
      <w:sz w:val="22"/>
      <w:szCs w:val="22"/>
    </w:rPr>
  </w:style>
  <w:style w:type="character" w:customStyle="1" w:styleId="nw1">
    <w:name w:val="nw1"/>
    <w:basedOn w:val="DefaultParagraphFont"/>
    <w:uiPriority w:val="99"/>
    <w:rsid w:val="005B605A"/>
    <w:rPr>
      <w:rFonts w:cs="Times New Roman"/>
    </w:rPr>
  </w:style>
  <w:style w:type="paragraph" w:customStyle="1" w:styleId="EstiloJustificadoEspaamentoentrelinhas15linha">
    <w:name w:val="Estilo Justificado Espaçamento entre linhas:  15 linha"/>
    <w:basedOn w:val="Normal"/>
    <w:rsid w:val="005B605A"/>
    <w:pPr>
      <w:widowControl/>
      <w:suppressAutoHyphens w:val="0"/>
      <w:spacing w:line="360" w:lineRule="auto"/>
      <w:ind w:firstLine="567"/>
      <w:jc w:val="both"/>
    </w:pPr>
    <w:rPr>
      <w:rFonts w:eastAsia="Times New Roman"/>
      <w:kern w:val="0"/>
      <w:szCs w:val="20"/>
    </w:rPr>
  </w:style>
  <w:style w:type="paragraph" w:customStyle="1" w:styleId="SemEspaamento1">
    <w:name w:val="Sem Espaçamento1"/>
    <w:uiPriority w:val="99"/>
    <w:qFormat/>
    <w:rsid w:val="005B605A"/>
    <w:rPr>
      <w:rFonts w:ascii="Calibri" w:eastAsia="Calibri" w:hAnsi="Calibri" w:cs="Times New Roman"/>
      <w:sz w:val="22"/>
      <w:szCs w:val="22"/>
    </w:rPr>
  </w:style>
  <w:style w:type="paragraph" w:styleId="Revision">
    <w:name w:val="Revision"/>
    <w:hidden/>
    <w:uiPriority w:val="99"/>
    <w:semiHidden/>
    <w:rsid w:val="005B605A"/>
    <w:rPr>
      <w:rFonts w:ascii="Times New Roman" w:eastAsia="Arial Unicode MS" w:hAnsi="Times New Roman" w:cs="Times New Roman"/>
      <w:kern w:val="1"/>
    </w:rPr>
  </w:style>
  <w:style w:type="character" w:customStyle="1" w:styleId="apple-converted-space">
    <w:name w:val="apple-converted-space"/>
    <w:basedOn w:val="DefaultParagraphFont"/>
    <w:rsid w:val="005B605A"/>
  </w:style>
  <w:style w:type="character" w:styleId="Strong">
    <w:name w:val="Strong"/>
    <w:basedOn w:val="DefaultParagraphFont"/>
    <w:uiPriority w:val="22"/>
    <w:qFormat/>
    <w:rsid w:val="005B605A"/>
    <w:rPr>
      <w:b/>
      <w:bCs/>
    </w:rPr>
  </w:style>
  <w:style w:type="character" w:customStyle="1" w:styleId="rotulo">
    <w:name w:val="rotulo"/>
    <w:basedOn w:val="DefaultParagraphFont"/>
    <w:rsid w:val="005B605A"/>
  </w:style>
  <w:style w:type="character" w:customStyle="1" w:styleId="nomeproposicao">
    <w:name w:val="nomeproposicao"/>
    <w:basedOn w:val="DefaultParagraphFont"/>
    <w:rsid w:val="005B605A"/>
  </w:style>
  <w:style w:type="character" w:customStyle="1" w:styleId="hps">
    <w:name w:val="hps"/>
    <w:basedOn w:val="DefaultParagraphFont"/>
    <w:rsid w:val="005B605A"/>
    <w:rPr>
      <w:rFonts w:cs="Times New Roman"/>
    </w:rPr>
  </w:style>
  <w:style w:type="character" w:customStyle="1" w:styleId="atn">
    <w:name w:val="atn"/>
    <w:basedOn w:val="DefaultParagraphFont"/>
    <w:rsid w:val="005B605A"/>
  </w:style>
  <w:style w:type="paragraph" w:customStyle="1" w:styleId="Default">
    <w:name w:val="Default"/>
    <w:rsid w:val="005B605A"/>
    <w:pPr>
      <w:autoSpaceDE w:val="0"/>
      <w:autoSpaceDN w:val="0"/>
      <w:adjustRightInd w:val="0"/>
    </w:pPr>
    <w:rPr>
      <w:rFonts w:ascii="Times New Roman" w:eastAsia="Times New Roman" w:hAnsi="Times New Roman" w:cs="Times New Roman"/>
      <w:color w:val="000000"/>
    </w:rPr>
  </w:style>
  <w:style w:type="character" w:customStyle="1" w:styleId="mw-cite-backlink">
    <w:name w:val="mw-cite-backlink"/>
    <w:basedOn w:val="DefaultParagraphFont"/>
    <w:rsid w:val="005B605A"/>
  </w:style>
  <w:style w:type="character" w:customStyle="1" w:styleId="cite-accessibility-label">
    <w:name w:val="cite-accessibility-label"/>
    <w:basedOn w:val="DefaultParagraphFont"/>
    <w:rsid w:val="005B605A"/>
  </w:style>
  <w:style w:type="character" w:customStyle="1" w:styleId="reference-text">
    <w:name w:val="reference-text"/>
    <w:basedOn w:val="DefaultParagraphFont"/>
    <w:rsid w:val="005B605A"/>
  </w:style>
  <w:style w:type="character" w:styleId="PlaceholderText">
    <w:name w:val="Placeholder Text"/>
    <w:basedOn w:val="DefaultParagraphFont"/>
    <w:uiPriority w:val="99"/>
    <w:semiHidden/>
    <w:rsid w:val="005B605A"/>
    <w:rPr>
      <w:color w:val="808080"/>
    </w:rPr>
  </w:style>
  <w:style w:type="character" w:styleId="Emphasis">
    <w:name w:val="Emphasis"/>
    <w:basedOn w:val="DefaultParagraphFont"/>
    <w:uiPriority w:val="20"/>
    <w:qFormat/>
    <w:rsid w:val="005B605A"/>
    <w:rPr>
      <w:i/>
      <w:iCs/>
    </w:rPr>
  </w:style>
  <w:style w:type="character" w:customStyle="1" w:styleId="destacapalavras">
    <w:name w:val="destaca_palavras"/>
    <w:basedOn w:val="DefaultParagraphFont"/>
    <w:rsid w:val="005B605A"/>
  </w:style>
  <w:style w:type="paragraph" w:styleId="NoSpacing">
    <w:name w:val="No Spacing"/>
    <w:qFormat/>
    <w:rsid w:val="005B605A"/>
    <w:rPr>
      <w:rFonts w:eastAsiaTheme="minorHAnsi"/>
      <w:sz w:val="22"/>
      <w:szCs w:val="22"/>
    </w:rPr>
  </w:style>
  <w:style w:type="table" w:styleId="TableClassic4">
    <w:name w:val="Table Classic 4"/>
    <w:basedOn w:val="TableNormal"/>
    <w:rsid w:val="005B605A"/>
    <w:pPr>
      <w:widowControl w:val="0"/>
      <w:suppressAutoHyphens/>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5B605A"/>
    <w:pPr>
      <w:widowControl w:val="0"/>
      <w:suppressAutoHyphens/>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Shading">
    <w:name w:val="Light Shading"/>
    <w:basedOn w:val="TableNormal"/>
    <w:uiPriority w:val="60"/>
    <w:rsid w:val="005B605A"/>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dmd">
    <w:name w:val="addmd"/>
    <w:basedOn w:val="DefaultParagraphFont"/>
    <w:rsid w:val="005B605A"/>
  </w:style>
  <w:style w:type="paragraph" w:styleId="Caption">
    <w:name w:val="caption"/>
    <w:basedOn w:val="Normal"/>
    <w:next w:val="Normal"/>
    <w:unhideWhenUsed/>
    <w:qFormat/>
    <w:rsid w:val="005B605A"/>
    <w:pPr>
      <w:spacing w:after="200"/>
    </w:pPr>
    <w:rPr>
      <w:b/>
      <w:bCs/>
      <w:color w:val="4F81BD" w:themeColor="accent1"/>
      <w:sz w:val="18"/>
      <w:szCs w:val="18"/>
    </w:rPr>
  </w:style>
  <w:style w:type="paragraph" w:styleId="TableofFigures">
    <w:name w:val="table of figures"/>
    <w:basedOn w:val="Normal"/>
    <w:next w:val="Normal"/>
    <w:uiPriority w:val="99"/>
    <w:rsid w:val="005B605A"/>
    <w:pPr>
      <w:spacing w:before="120" w:after="120"/>
    </w:pPr>
    <w:rPr>
      <w:rFonts w:ascii="Arial" w:hAnsi="Arial"/>
    </w:rPr>
  </w:style>
  <w:style w:type="paragraph" w:styleId="Title">
    <w:name w:val="Title"/>
    <w:basedOn w:val="Normal"/>
    <w:next w:val="Normal"/>
    <w:link w:val="TitleChar"/>
    <w:qFormat/>
    <w:rsid w:val="005B60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605A"/>
    <w:rPr>
      <w:rFonts w:asciiTheme="majorHAnsi" w:eastAsiaTheme="majorEastAsia" w:hAnsiTheme="majorHAnsi" w:cstheme="majorBidi"/>
      <w:color w:val="17365D" w:themeColor="text2" w:themeShade="BF"/>
      <w:spacing w:val="5"/>
      <w:kern w:val="28"/>
      <w:sz w:val="52"/>
      <w:szCs w:val="52"/>
      <w:lang w:eastAsia="en-GB"/>
    </w:rPr>
  </w:style>
  <w:style w:type="paragraph" w:customStyle="1" w:styleId="Capa-FolhaDeRosto">
    <w:name w:val="Capa-Folha De Rosto"/>
    <w:basedOn w:val="Normal"/>
    <w:rsid w:val="005B605A"/>
    <w:pPr>
      <w:widowControl/>
      <w:suppressAutoHyphens w:val="0"/>
      <w:spacing w:line="360" w:lineRule="auto"/>
      <w:jc w:val="center"/>
    </w:pPr>
    <w:rPr>
      <w:rFonts w:ascii="Arial" w:eastAsia="Times New Roman" w:hAnsi="Arial"/>
      <w:b/>
      <w:caps/>
      <w:kern w:val="0"/>
      <w:szCs w:val="22"/>
    </w:rPr>
  </w:style>
  <w:style w:type="paragraph" w:customStyle="1" w:styleId="CF-NaturezadoTrabalho-Orientador">
    <w:name w:val="CF-Natureza do Trabalho-Orientador"/>
    <w:basedOn w:val="Normal"/>
    <w:qFormat/>
    <w:rsid w:val="005B605A"/>
    <w:pPr>
      <w:widowControl/>
      <w:suppressAutoHyphens w:val="0"/>
      <w:ind w:left="4536"/>
      <w:jc w:val="both"/>
    </w:pPr>
    <w:rPr>
      <w:rFonts w:ascii="Arial" w:eastAsia="Times New Roman" w:hAnsi="Arial"/>
      <w:kern w:val="0"/>
      <w:szCs w:val="22"/>
    </w:rPr>
  </w:style>
  <w:style w:type="paragraph" w:customStyle="1" w:styleId="FolhaAprov-NaturezaTrabalho">
    <w:name w:val="Folha Aprov-Natureza Trabalho"/>
    <w:basedOn w:val="Normal"/>
    <w:rsid w:val="005B605A"/>
    <w:pPr>
      <w:widowControl/>
      <w:suppressAutoHyphens w:val="0"/>
      <w:spacing w:line="360" w:lineRule="auto"/>
      <w:jc w:val="both"/>
    </w:pPr>
    <w:rPr>
      <w:rFonts w:ascii="Arial" w:eastAsia="Times New Roman" w:hAnsi="Arial"/>
      <w:kern w:val="0"/>
      <w:szCs w:val="22"/>
    </w:rPr>
  </w:style>
  <w:style w:type="paragraph" w:customStyle="1" w:styleId="FolhaAprov-BancaExaminadora">
    <w:name w:val="Folha Aprov-Banca Examinadora"/>
    <w:basedOn w:val="Normal"/>
    <w:rsid w:val="005B605A"/>
    <w:pPr>
      <w:widowControl/>
      <w:suppressAutoHyphens w:val="0"/>
      <w:spacing w:line="360" w:lineRule="auto"/>
      <w:jc w:val="center"/>
    </w:pPr>
    <w:rPr>
      <w:rFonts w:ascii="Arial" w:eastAsia="Times New Roman" w:hAnsi="Arial"/>
      <w:kern w:val="0"/>
      <w:szCs w:val="22"/>
    </w:rPr>
  </w:style>
  <w:style w:type="paragraph" w:customStyle="1" w:styleId="Dedicatria-Epigrafe">
    <w:name w:val="Dedicatória-Epigrafe"/>
    <w:basedOn w:val="Normal"/>
    <w:rsid w:val="005B605A"/>
    <w:pPr>
      <w:widowControl/>
      <w:suppressAutoHyphens w:val="0"/>
      <w:spacing w:line="360" w:lineRule="auto"/>
      <w:ind w:left="4536"/>
      <w:jc w:val="right"/>
    </w:pPr>
    <w:rPr>
      <w:rFonts w:ascii="Arial" w:eastAsia="Times New Roman" w:hAnsi="Arial"/>
      <w:kern w:val="0"/>
      <w:szCs w:val="22"/>
    </w:rPr>
  </w:style>
  <w:style w:type="paragraph" w:customStyle="1" w:styleId="Texto">
    <w:name w:val="Texto"/>
    <w:basedOn w:val="Normal"/>
    <w:qFormat/>
    <w:rsid w:val="005B605A"/>
    <w:pPr>
      <w:widowControl/>
      <w:suppressAutoHyphens w:val="0"/>
      <w:spacing w:line="360" w:lineRule="auto"/>
      <w:ind w:firstLine="709"/>
      <w:jc w:val="both"/>
    </w:pPr>
    <w:rPr>
      <w:rFonts w:ascii="Arial" w:eastAsia="Times New Roman" w:hAnsi="Arial"/>
      <w:kern w:val="0"/>
      <w:szCs w:val="22"/>
    </w:rPr>
  </w:style>
  <w:style w:type="paragraph" w:customStyle="1" w:styleId="Resumo-Texto">
    <w:name w:val="Resumo-Texto"/>
    <w:basedOn w:val="Normal"/>
    <w:rsid w:val="005B605A"/>
    <w:pPr>
      <w:widowControl/>
      <w:suppressAutoHyphens w:val="0"/>
      <w:jc w:val="both"/>
    </w:pPr>
    <w:rPr>
      <w:rFonts w:ascii="Arial" w:eastAsia="Times New Roman" w:hAnsi="Arial"/>
      <w:kern w:val="0"/>
      <w:szCs w:val="22"/>
    </w:rPr>
  </w:style>
  <w:style w:type="numbering" w:customStyle="1" w:styleId="Estilo2">
    <w:name w:val="Estilo2"/>
    <w:uiPriority w:val="99"/>
    <w:rsid w:val="005B605A"/>
    <w:pPr>
      <w:numPr>
        <w:numId w:val="3"/>
      </w:numPr>
    </w:pPr>
  </w:style>
  <w:style w:type="paragraph" w:customStyle="1" w:styleId="articledetails">
    <w:name w:val="articledetails"/>
    <w:basedOn w:val="Normal"/>
    <w:rsid w:val="005B605A"/>
    <w:pPr>
      <w:widowControl/>
      <w:suppressAutoHyphens w:val="0"/>
      <w:spacing w:before="100" w:beforeAutospacing="1" w:after="100" w:afterAutospacing="1"/>
    </w:pPr>
    <w:rPr>
      <w:rFonts w:eastAsia="Times New Roman"/>
      <w:kern w:val="0"/>
    </w:rPr>
  </w:style>
  <w:style w:type="character" w:styleId="HTMLCite">
    <w:name w:val="HTML Cite"/>
    <w:basedOn w:val="DefaultParagraphFont"/>
    <w:uiPriority w:val="99"/>
    <w:unhideWhenUsed/>
    <w:rsid w:val="005B605A"/>
    <w:rPr>
      <w:i/>
      <w:iCs/>
    </w:rPr>
  </w:style>
  <w:style w:type="character" w:styleId="FollowedHyperlink">
    <w:name w:val="FollowedHyperlink"/>
    <w:basedOn w:val="DefaultParagraphFont"/>
    <w:uiPriority w:val="99"/>
    <w:semiHidden/>
    <w:unhideWhenUsed/>
    <w:rsid w:val="00E17CE3"/>
    <w:rPr>
      <w:color w:val="800080" w:themeColor="followedHyperlink"/>
      <w:u w:val="single"/>
    </w:rPr>
  </w:style>
  <w:style w:type="character" w:customStyle="1" w:styleId="shorttext">
    <w:name w:val="short_text"/>
    <w:basedOn w:val="DefaultParagraphFont"/>
    <w:rsid w:val="000024F5"/>
  </w:style>
  <w:style w:type="paragraph" w:styleId="FootnoteText">
    <w:name w:val="footnote text"/>
    <w:basedOn w:val="Normal"/>
    <w:link w:val="FootnoteTextChar"/>
    <w:uiPriority w:val="99"/>
    <w:unhideWhenUsed/>
    <w:rsid w:val="005D7E42"/>
  </w:style>
  <w:style w:type="character" w:customStyle="1" w:styleId="FootnoteTextChar">
    <w:name w:val="Footnote Text Char"/>
    <w:basedOn w:val="DefaultParagraphFont"/>
    <w:link w:val="FootnoteText"/>
    <w:uiPriority w:val="99"/>
    <w:rsid w:val="005D7E42"/>
    <w:rPr>
      <w:rFonts w:ascii="Times New Roman" w:eastAsia="Arial Unicode MS" w:hAnsi="Times New Roman" w:cs="Times New Roman"/>
      <w:kern w:val="1"/>
    </w:rPr>
  </w:style>
  <w:style w:type="table" w:styleId="LightShading-Accent1">
    <w:name w:val="Light Shading Accent 1"/>
    <w:basedOn w:val="TableNormal"/>
    <w:uiPriority w:val="60"/>
    <w:rsid w:val="008E78E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78E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78E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78E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4791">
      <w:bodyDiv w:val="1"/>
      <w:marLeft w:val="0"/>
      <w:marRight w:val="0"/>
      <w:marTop w:val="0"/>
      <w:marBottom w:val="0"/>
      <w:divBdr>
        <w:top w:val="none" w:sz="0" w:space="0" w:color="auto"/>
        <w:left w:val="none" w:sz="0" w:space="0" w:color="auto"/>
        <w:bottom w:val="none" w:sz="0" w:space="0" w:color="auto"/>
        <w:right w:val="none" w:sz="0" w:space="0" w:color="auto"/>
      </w:divBdr>
      <w:divsChild>
        <w:div w:id="1972398141">
          <w:marLeft w:val="0"/>
          <w:marRight w:val="0"/>
          <w:marTop w:val="0"/>
          <w:marBottom w:val="0"/>
          <w:divBdr>
            <w:top w:val="none" w:sz="0" w:space="0" w:color="auto"/>
            <w:left w:val="none" w:sz="0" w:space="0" w:color="auto"/>
            <w:bottom w:val="none" w:sz="0" w:space="0" w:color="auto"/>
            <w:right w:val="none" w:sz="0" w:space="0" w:color="auto"/>
          </w:divBdr>
          <w:divsChild>
            <w:div w:id="197938274">
              <w:marLeft w:val="0"/>
              <w:marRight w:val="0"/>
              <w:marTop w:val="0"/>
              <w:marBottom w:val="0"/>
              <w:divBdr>
                <w:top w:val="none" w:sz="0" w:space="0" w:color="auto"/>
                <w:left w:val="none" w:sz="0" w:space="0" w:color="auto"/>
                <w:bottom w:val="none" w:sz="0" w:space="0" w:color="auto"/>
                <w:right w:val="none" w:sz="0" w:space="0" w:color="auto"/>
              </w:divBdr>
              <w:divsChild>
                <w:div w:id="1365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5426">
      <w:bodyDiv w:val="1"/>
      <w:marLeft w:val="0"/>
      <w:marRight w:val="0"/>
      <w:marTop w:val="0"/>
      <w:marBottom w:val="0"/>
      <w:divBdr>
        <w:top w:val="none" w:sz="0" w:space="0" w:color="auto"/>
        <w:left w:val="none" w:sz="0" w:space="0" w:color="auto"/>
        <w:bottom w:val="none" w:sz="0" w:space="0" w:color="auto"/>
        <w:right w:val="none" w:sz="0" w:space="0" w:color="auto"/>
      </w:divBdr>
      <w:divsChild>
        <w:div w:id="1542858941">
          <w:marLeft w:val="0"/>
          <w:marRight w:val="0"/>
          <w:marTop w:val="0"/>
          <w:marBottom w:val="0"/>
          <w:divBdr>
            <w:top w:val="none" w:sz="0" w:space="0" w:color="auto"/>
            <w:left w:val="none" w:sz="0" w:space="0" w:color="auto"/>
            <w:bottom w:val="none" w:sz="0" w:space="0" w:color="auto"/>
            <w:right w:val="none" w:sz="0" w:space="0" w:color="auto"/>
          </w:divBdr>
          <w:divsChild>
            <w:div w:id="2129465487">
              <w:marLeft w:val="0"/>
              <w:marRight w:val="0"/>
              <w:marTop w:val="0"/>
              <w:marBottom w:val="0"/>
              <w:divBdr>
                <w:top w:val="none" w:sz="0" w:space="0" w:color="auto"/>
                <w:left w:val="none" w:sz="0" w:space="0" w:color="auto"/>
                <w:bottom w:val="none" w:sz="0" w:space="0" w:color="auto"/>
                <w:right w:val="none" w:sz="0" w:space="0" w:color="auto"/>
              </w:divBdr>
              <w:divsChild>
                <w:div w:id="1927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2899">
      <w:bodyDiv w:val="1"/>
      <w:marLeft w:val="0"/>
      <w:marRight w:val="0"/>
      <w:marTop w:val="0"/>
      <w:marBottom w:val="0"/>
      <w:divBdr>
        <w:top w:val="none" w:sz="0" w:space="0" w:color="auto"/>
        <w:left w:val="none" w:sz="0" w:space="0" w:color="auto"/>
        <w:bottom w:val="none" w:sz="0" w:space="0" w:color="auto"/>
        <w:right w:val="none" w:sz="0" w:space="0" w:color="auto"/>
      </w:divBdr>
      <w:divsChild>
        <w:div w:id="41371553">
          <w:marLeft w:val="0"/>
          <w:marRight w:val="0"/>
          <w:marTop w:val="0"/>
          <w:marBottom w:val="0"/>
          <w:divBdr>
            <w:top w:val="none" w:sz="0" w:space="0" w:color="auto"/>
            <w:left w:val="none" w:sz="0" w:space="0" w:color="auto"/>
            <w:bottom w:val="none" w:sz="0" w:space="0" w:color="auto"/>
            <w:right w:val="none" w:sz="0" w:space="0" w:color="auto"/>
          </w:divBdr>
          <w:divsChild>
            <w:div w:id="243419461">
              <w:marLeft w:val="0"/>
              <w:marRight w:val="0"/>
              <w:marTop w:val="0"/>
              <w:marBottom w:val="0"/>
              <w:divBdr>
                <w:top w:val="none" w:sz="0" w:space="0" w:color="auto"/>
                <w:left w:val="none" w:sz="0" w:space="0" w:color="auto"/>
                <w:bottom w:val="none" w:sz="0" w:space="0" w:color="auto"/>
                <w:right w:val="none" w:sz="0" w:space="0" w:color="auto"/>
              </w:divBdr>
              <w:divsChild>
                <w:div w:id="9072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6053">
      <w:bodyDiv w:val="1"/>
      <w:marLeft w:val="0"/>
      <w:marRight w:val="0"/>
      <w:marTop w:val="0"/>
      <w:marBottom w:val="0"/>
      <w:divBdr>
        <w:top w:val="none" w:sz="0" w:space="0" w:color="auto"/>
        <w:left w:val="none" w:sz="0" w:space="0" w:color="auto"/>
        <w:bottom w:val="none" w:sz="0" w:space="0" w:color="auto"/>
        <w:right w:val="none" w:sz="0" w:space="0" w:color="auto"/>
      </w:divBdr>
      <w:divsChild>
        <w:div w:id="1775517625">
          <w:marLeft w:val="0"/>
          <w:marRight w:val="0"/>
          <w:marTop w:val="0"/>
          <w:marBottom w:val="0"/>
          <w:divBdr>
            <w:top w:val="none" w:sz="0" w:space="0" w:color="auto"/>
            <w:left w:val="none" w:sz="0" w:space="0" w:color="auto"/>
            <w:bottom w:val="none" w:sz="0" w:space="0" w:color="auto"/>
            <w:right w:val="none" w:sz="0" w:space="0" w:color="auto"/>
          </w:divBdr>
          <w:divsChild>
            <w:div w:id="2099250666">
              <w:marLeft w:val="0"/>
              <w:marRight w:val="0"/>
              <w:marTop w:val="0"/>
              <w:marBottom w:val="0"/>
              <w:divBdr>
                <w:top w:val="none" w:sz="0" w:space="0" w:color="auto"/>
                <w:left w:val="none" w:sz="0" w:space="0" w:color="auto"/>
                <w:bottom w:val="none" w:sz="0" w:space="0" w:color="auto"/>
                <w:right w:val="none" w:sz="0" w:space="0" w:color="auto"/>
              </w:divBdr>
              <w:divsChild>
                <w:div w:id="243222950">
                  <w:marLeft w:val="0"/>
                  <w:marRight w:val="0"/>
                  <w:marTop w:val="0"/>
                  <w:marBottom w:val="0"/>
                  <w:divBdr>
                    <w:top w:val="none" w:sz="0" w:space="0" w:color="auto"/>
                    <w:left w:val="none" w:sz="0" w:space="0" w:color="auto"/>
                    <w:bottom w:val="none" w:sz="0" w:space="0" w:color="auto"/>
                    <w:right w:val="none" w:sz="0" w:space="0" w:color="auto"/>
                  </w:divBdr>
                </w:div>
              </w:divsChild>
            </w:div>
            <w:div w:id="415520680">
              <w:marLeft w:val="0"/>
              <w:marRight w:val="0"/>
              <w:marTop w:val="0"/>
              <w:marBottom w:val="0"/>
              <w:divBdr>
                <w:top w:val="none" w:sz="0" w:space="0" w:color="auto"/>
                <w:left w:val="none" w:sz="0" w:space="0" w:color="auto"/>
                <w:bottom w:val="none" w:sz="0" w:space="0" w:color="auto"/>
                <w:right w:val="none" w:sz="0" w:space="0" w:color="auto"/>
              </w:divBdr>
              <w:divsChild>
                <w:div w:id="15805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5609">
          <w:marLeft w:val="0"/>
          <w:marRight w:val="0"/>
          <w:marTop w:val="0"/>
          <w:marBottom w:val="0"/>
          <w:divBdr>
            <w:top w:val="none" w:sz="0" w:space="0" w:color="auto"/>
            <w:left w:val="none" w:sz="0" w:space="0" w:color="auto"/>
            <w:bottom w:val="none" w:sz="0" w:space="0" w:color="auto"/>
            <w:right w:val="none" w:sz="0" w:space="0" w:color="auto"/>
          </w:divBdr>
          <w:divsChild>
            <w:div w:id="335499479">
              <w:marLeft w:val="0"/>
              <w:marRight w:val="0"/>
              <w:marTop w:val="0"/>
              <w:marBottom w:val="0"/>
              <w:divBdr>
                <w:top w:val="none" w:sz="0" w:space="0" w:color="auto"/>
                <w:left w:val="none" w:sz="0" w:space="0" w:color="auto"/>
                <w:bottom w:val="none" w:sz="0" w:space="0" w:color="auto"/>
                <w:right w:val="none" w:sz="0" w:space="0" w:color="auto"/>
              </w:divBdr>
              <w:divsChild>
                <w:div w:id="882013616">
                  <w:marLeft w:val="0"/>
                  <w:marRight w:val="0"/>
                  <w:marTop w:val="0"/>
                  <w:marBottom w:val="0"/>
                  <w:divBdr>
                    <w:top w:val="none" w:sz="0" w:space="0" w:color="auto"/>
                    <w:left w:val="none" w:sz="0" w:space="0" w:color="auto"/>
                    <w:bottom w:val="none" w:sz="0" w:space="0" w:color="auto"/>
                    <w:right w:val="none" w:sz="0" w:space="0" w:color="auto"/>
                  </w:divBdr>
                </w:div>
              </w:divsChild>
            </w:div>
            <w:div w:id="554776737">
              <w:marLeft w:val="0"/>
              <w:marRight w:val="0"/>
              <w:marTop w:val="0"/>
              <w:marBottom w:val="0"/>
              <w:divBdr>
                <w:top w:val="none" w:sz="0" w:space="0" w:color="auto"/>
                <w:left w:val="none" w:sz="0" w:space="0" w:color="auto"/>
                <w:bottom w:val="none" w:sz="0" w:space="0" w:color="auto"/>
                <w:right w:val="none" w:sz="0" w:space="0" w:color="auto"/>
              </w:divBdr>
              <w:divsChild>
                <w:div w:id="1540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5601">
      <w:bodyDiv w:val="1"/>
      <w:marLeft w:val="0"/>
      <w:marRight w:val="0"/>
      <w:marTop w:val="0"/>
      <w:marBottom w:val="0"/>
      <w:divBdr>
        <w:top w:val="none" w:sz="0" w:space="0" w:color="auto"/>
        <w:left w:val="none" w:sz="0" w:space="0" w:color="auto"/>
        <w:bottom w:val="none" w:sz="0" w:space="0" w:color="auto"/>
        <w:right w:val="none" w:sz="0" w:space="0" w:color="auto"/>
      </w:divBdr>
      <w:divsChild>
        <w:div w:id="1974406572">
          <w:marLeft w:val="0"/>
          <w:marRight w:val="0"/>
          <w:marTop w:val="0"/>
          <w:marBottom w:val="0"/>
          <w:divBdr>
            <w:top w:val="none" w:sz="0" w:space="0" w:color="auto"/>
            <w:left w:val="none" w:sz="0" w:space="0" w:color="auto"/>
            <w:bottom w:val="none" w:sz="0" w:space="0" w:color="auto"/>
            <w:right w:val="none" w:sz="0" w:space="0" w:color="auto"/>
          </w:divBdr>
          <w:divsChild>
            <w:div w:id="1919093470">
              <w:marLeft w:val="0"/>
              <w:marRight w:val="0"/>
              <w:marTop w:val="0"/>
              <w:marBottom w:val="0"/>
              <w:divBdr>
                <w:top w:val="none" w:sz="0" w:space="0" w:color="auto"/>
                <w:left w:val="none" w:sz="0" w:space="0" w:color="auto"/>
                <w:bottom w:val="none" w:sz="0" w:space="0" w:color="auto"/>
                <w:right w:val="none" w:sz="0" w:space="0" w:color="auto"/>
              </w:divBdr>
              <w:divsChild>
                <w:div w:id="670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397">
      <w:bodyDiv w:val="1"/>
      <w:marLeft w:val="0"/>
      <w:marRight w:val="0"/>
      <w:marTop w:val="0"/>
      <w:marBottom w:val="0"/>
      <w:divBdr>
        <w:top w:val="none" w:sz="0" w:space="0" w:color="auto"/>
        <w:left w:val="none" w:sz="0" w:space="0" w:color="auto"/>
        <w:bottom w:val="none" w:sz="0" w:space="0" w:color="auto"/>
        <w:right w:val="none" w:sz="0" w:space="0" w:color="auto"/>
      </w:divBdr>
      <w:divsChild>
        <w:div w:id="91052526">
          <w:marLeft w:val="0"/>
          <w:marRight w:val="0"/>
          <w:marTop w:val="0"/>
          <w:marBottom w:val="0"/>
          <w:divBdr>
            <w:top w:val="none" w:sz="0" w:space="0" w:color="auto"/>
            <w:left w:val="none" w:sz="0" w:space="0" w:color="auto"/>
            <w:bottom w:val="none" w:sz="0" w:space="0" w:color="auto"/>
            <w:right w:val="none" w:sz="0" w:space="0" w:color="auto"/>
          </w:divBdr>
          <w:divsChild>
            <w:div w:id="214778311">
              <w:marLeft w:val="0"/>
              <w:marRight w:val="0"/>
              <w:marTop w:val="0"/>
              <w:marBottom w:val="0"/>
              <w:divBdr>
                <w:top w:val="none" w:sz="0" w:space="0" w:color="auto"/>
                <w:left w:val="none" w:sz="0" w:space="0" w:color="auto"/>
                <w:bottom w:val="none" w:sz="0" w:space="0" w:color="auto"/>
                <w:right w:val="none" w:sz="0" w:space="0" w:color="auto"/>
              </w:divBdr>
              <w:divsChild>
                <w:div w:id="11671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3435">
      <w:bodyDiv w:val="1"/>
      <w:marLeft w:val="0"/>
      <w:marRight w:val="0"/>
      <w:marTop w:val="0"/>
      <w:marBottom w:val="0"/>
      <w:divBdr>
        <w:top w:val="none" w:sz="0" w:space="0" w:color="auto"/>
        <w:left w:val="none" w:sz="0" w:space="0" w:color="auto"/>
        <w:bottom w:val="none" w:sz="0" w:space="0" w:color="auto"/>
        <w:right w:val="none" w:sz="0" w:space="0" w:color="auto"/>
      </w:divBdr>
      <w:divsChild>
        <w:div w:id="1202472465">
          <w:marLeft w:val="0"/>
          <w:marRight w:val="0"/>
          <w:marTop w:val="0"/>
          <w:marBottom w:val="0"/>
          <w:divBdr>
            <w:top w:val="none" w:sz="0" w:space="0" w:color="auto"/>
            <w:left w:val="none" w:sz="0" w:space="0" w:color="auto"/>
            <w:bottom w:val="none" w:sz="0" w:space="0" w:color="auto"/>
            <w:right w:val="none" w:sz="0" w:space="0" w:color="auto"/>
          </w:divBdr>
          <w:divsChild>
            <w:div w:id="1437939584">
              <w:marLeft w:val="0"/>
              <w:marRight w:val="0"/>
              <w:marTop w:val="0"/>
              <w:marBottom w:val="0"/>
              <w:divBdr>
                <w:top w:val="none" w:sz="0" w:space="0" w:color="auto"/>
                <w:left w:val="none" w:sz="0" w:space="0" w:color="auto"/>
                <w:bottom w:val="none" w:sz="0" w:space="0" w:color="auto"/>
                <w:right w:val="none" w:sz="0" w:space="0" w:color="auto"/>
              </w:divBdr>
              <w:divsChild>
                <w:div w:id="5297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02212">
      <w:bodyDiv w:val="1"/>
      <w:marLeft w:val="0"/>
      <w:marRight w:val="0"/>
      <w:marTop w:val="0"/>
      <w:marBottom w:val="0"/>
      <w:divBdr>
        <w:top w:val="none" w:sz="0" w:space="0" w:color="auto"/>
        <w:left w:val="none" w:sz="0" w:space="0" w:color="auto"/>
        <w:bottom w:val="none" w:sz="0" w:space="0" w:color="auto"/>
        <w:right w:val="none" w:sz="0" w:space="0" w:color="auto"/>
      </w:divBdr>
      <w:divsChild>
        <w:div w:id="1126581698">
          <w:marLeft w:val="0"/>
          <w:marRight w:val="0"/>
          <w:marTop w:val="0"/>
          <w:marBottom w:val="0"/>
          <w:divBdr>
            <w:top w:val="none" w:sz="0" w:space="0" w:color="auto"/>
            <w:left w:val="none" w:sz="0" w:space="0" w:color="auto"/>
            <w:bottom w:val="none" w:sz="0" w:space="0" w:color="auto"/>
            <w:right w:val="none" w:sz="0" w:space="0" w:color="auto"/>
          </w:divBdr>
          <w:divsChild>
            <w:div w:id="1854996919">
              <w:marLeft w:val="0"/>
              <w:marRight w:val="0"/>
              <w:marTop w:val="0"/>
              <w:marBottom w:val="0"/>
              <w:divBdr>
                <w:top w:val="none" w:sz="0" w:space="0" w:color="auto"/>
                <w:left w:val="none" w:sz="0" w:space="0" w:color="auto"/>
                <w:bottom w:val="none" w:sz="0" w:space="0" w:color="auto"/>
                <w:right w:val="none" w:sz="0" w:space="0" w:color="auto"/>
              </w:divBdr>
              <w:divsChild>
                <w:div w:id="4082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6076">
      <w:bodyDiv w:val="1"/>
      <w:marLeft w:val="0"/>
      <w:marRight w:val="0"/>
      <w:marTop w:val="0"/>
      <w:marBottom w:val="0"/>
      <w:divBdr>
        <w:top w:val="none" w:sz="0" w:space="0" w:color="auto"/>
        <w:left w:val="none" w:sz="0" w:space="0" w:color="auto"/>
        <w:bottom w:val="none" w:sz="0" w:space="0" w:color="auto"/>
        <w:right w:val="none" w:sz="0" w:space="0" w:color="auto"/>
      </w:divBdr>
      <w:divsChild>
        <w:div w:id="1475562643">
          <w:marLeft w:val="0"/>
          <w:marRight w:val="0"/>
          <w:marTop w:val="0"/>
          <w:marBottom w:val="0"/>
          <w:divBdr>
            <w:top w:val="none" w:sz="0" w:space="0" w:color="auto"/>
            <w:left w:val="none" w:sz="0" w:space="0" w:color="auto"/>
            <w:bottom w:val="none" w:sz="0" w:space="0" w:color="auto"/>
            <w:right w:val="none" w:sz="0" w:space="0" w:color="auto"/>
          </w:divBdr>
          <w:divsChild>
            <w:div w:id="1510675563">
              <w:marLeft w:val="0"/>
              <w:marRight w:val="0"/>
              <w:marTop w:val="0"/>
              <w:marBottom w:val="0"/>
              <w:divBdr>
                <w:top w:val="none" w:sz="0" w:space="0" w:color="auto"/>
                <w:left w:val="none" w:sz="0" w:space="0" w:color="auto"/>
                <w:bottom w:val="none" w:sz="0" w:space="0" w:color="auto"/>
                <w:right w:val="none" w:sz="0" w:space="0" w:color="auto"/>
              </w:divBdr>
              <w:divsChild>
                <w:div w:id="10603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6786">
      <w:bodyDiv w:val="1"/>
      <w:marLeft w:val="0"/>
      <w:marRight w:val="0"/>
      <w:marTop w:val="0"/>
      <w:marBottom w:val="0"/>
      <w:divBdr>
        <w:top w:val="none" w:sz="0" w:space="0" w:color="auto"/>
        <w:left w:val="none" w:sz="0" w:space="0" w:color="auto"/>
        <w:bottom w:val="none" w:sz="0" w:space="0" w:color="auto"/>
        <w:right w:val="none" w:sz="0" w:space="0" w:color="auto"/>
      </w:divBdr>
      <w:divsChild>
        <w:div w:id="1211570566">
          <w:marLeft w:val="0"/>
          <w:marRight w:val="0"/>
          <w:marTop w:val="0"/>
          <w:marBottom w:val="0"/>
          <w:divBdr>
            <w:top w:val="none" w:sz="0" w:space="0" w:color="auto"/>
            <w:left w:val="none" w:sz="0" w:space="0" w:color="auto"/>
            <w:bottom w:val="none" w:sz="0" w:space="0" w:color="auto"/>
            <w:right w:val="none" w:sz="0" w:space="0" w:color="auto"/>
          </w:divBdr>
          <w:divsChild>
            <w:div w:id="261108124">
              <w:marLeft w:val="0"/>
              <w:marRight w:val="0"/>
              <w:marTop w:val="0"/>
              <w:marBottom w:val="0"/>
              <w:divBdr>
                <w:top w:val="none" w:sz="0" w:space="0" w:color="auto"/>
                <w:left w:val="none" w:sz="0" w:space="0" w:color="auto"/>
                <w:bottom w:val="none" w:sz="0" w:space="0" w:color="auto"/>
                <w:right w:val="none" w:sz="0" w:space="0" w:color="auto"/>
              </w:divBdr>
              <w:divsChild>
                <w:div w:id="22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462">
      <w:bodyDiv w:val="1"/>
      <w:marLeft w:val="0"/>
      <w:marRight w:val="0"/>
      <w:marTop w:val="0"/>
      <w:marBottom w:val="0"/>
      <w:divBdr>
        <w:top w:val="none" w:sz="0" w:space="0" w:color="auto"/>
        <w:left w:val="none" w:sz="0" w:space="0" w:color="auto"/>
        <w:bottom w:val="none" w:sz="0" w:space="0" w:color="auto"/>
        <w:right w:val="none" w:sz="0" w:space="0" w:color="auto"/>
      </w:divBdr>
    </w:div>
    <w:div w:id="1684552146">
      <w:bodyDiv w:val="1"/>
      <w:marLeft w:val="0"/>
      <w:marRight w:val="0"/>
      <w:marTop w:val="0"/>
      <w:marBottom w:val="0"/>
      <w:divBdr>
        <w:top w:val="none" w:sz="0" w:space="0" w:color="auto"/>
        <w:left w:val="none" w:sz="0" w:space="0" w:color="auto"/>
        <w:bottom w:val="none" w:sz="0" w:space="0" w:color="auto"/>
        <w:right w:val="none" w:sz="0" w:space="0" w:color="auto"/>
      </w:divBdr>
      <w:divsChild>
        <w:div w:id="1445884685">
          <w:marLeft w:val="0"/>
          <w:marRight w:val="0"/>
          <w:marTop w:val="0"/>
          <w:marBottom w:val="0"/>
          <w:divBdr>
            <w:top w:val="none" w:sz="0" w:space="0" w:color="auto"/>
            <w:left w:val="none" w:sz="0" w:space="0" w:color="auto"/>
            <w:bottom w:val="none" w:sz="0" w:space="0" w:color="auto"/>
            <w:right w:val="none" w:sz="0" w:space="0" w:color="auto"/>
          </w:divBdr>
          <w:divsChild>
            <w:div w:id="1558930154">
              <w:marLeft w:val="0"/>
              <w:marRight w:val="0"/>
              <w:marTop w:val="0"/>
              <w:marBottom w:val="0"/>
              <w:divBdr>
                <w:top w:val="none" w:sz="0" w:space="0" w:color="auto"/>
                <w:left w:val="none" w:sz="0" w:space="0" w:color="auto"/>
                <w:bottom w:val="none" w:sz="0" w:space="0" w:color="auto"/>
                <w:right w:val="none" w:sz="0" w:space="0" w:color="auto"/>
              </w:divBdr>
              <w:divsChild>
                <w:div w:id="14115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881">
      <w:bodyDiv w:val="1"/>
      <w:marLeft w:val="0"/>
      <w:marRight w:val="0"/>
      <w:marTop w:val="0"/>
      <w:marBottom w:val="0"/>
      <w:divBdr>
        <w:top w:val="none" w:sz="0" w:space="0" w:color="auto"/>
        <w:left w:val="none" w:sz="0" w:space="0" w:color="auto"/>
        <w:bottom w:val="none" w:sz="0" w:space="0" w:color="auto"/>
        <w:right w:val="none" w:sz="0" w:space="0" w:color="auto"/>
      </w:divBdr>
      <w:divsChild>
        <w:div w:id="1661813411">
          <w:marLeft w:val="0"/>
          <w:marRight w:val="0"/>
          <w:marTop w:val="0"/>
          <w:marBottom w:val="0"/>
          <w:divBdr>
            <w:top w:val="none" w:sz="0" w:space="0" w:color="auto"/>
            <w:left w:val="none" w:sz="0" w:space="0" w:color="auto"/>
            <w:bottom w:val="none" w:sz="0" w:space="0" w:color="auto"/>
            <w:right w:val="none" w:sz="0" w:space="0" w:color="auto"/>
          </w:divBdr>
          <w:divsChild>
            <w:div w:id="908003845">
              <w:marLeft w:val="0"/>
              <w:marRight w:val="0"/>
              <w:marTop w:val="0"/>
              <w:marBottom w:val="0"/>
              <w:divBdr>
                <w:top w:val="none" w:sz="0" w:space="0" w:color="auto"/>
                <w:left w:val="none" w:sz="0" w:space="0" w:color="auto"/>
                <w:bottom w:val="none" w:sz="0" w:space="0" w:color="auto"/>
                <w:right w:val="none" w:sz="0" w:space="0" w:color="auto"/>
              </w:divBdr>
              <w:divsChild>
                <w:div w:id="14875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98924">
      <w:bodyDiv w:val="1"/>
      <w:marLeft w:val="0"/>
      <w:marRight w:val="0"/>
      <w:marTop w:val="0"/>
      <w:marBottom w:val="0"/>
      <w:divBdr>
        <w:top w:val="none" w:sz="0" w:space="0" w:color="auto"/>
        <w:left w:val="none" w:sz="0" w:space="0" w:color="auto"/>
        <w:bottom w:val="none" w:sz="0" w:space="0" w:color="auto"/>
        <w:right w:val="none" w:sz="0" w:space="0" w:color="auto"/>
      </w:divBdr>
      <w:divsChild>
        <w:div w:id="2127652193">
          <w:marLeft w:val="0"/>
          <w:marRight w:val="0"/>
          <w:marTop w:val="0"/>
          <w:marBottom w:val="0"/>
          <w:divBdr>
            <w:top w:val="none" w:sz="0" w:space="0" w:color="auto"/>
            <w:left w:val="none" w:sz="0" w:space="0" w:color="auto"/>
            <w:bottom w:val="none" w:sz="0" w:space="0" w:color="auto"/>
            <w:right w:val="none" w:sz="0" w:space="0" w:color="auto"/>
          </w:divBdr>
          <w:divsChild>
            <w:div w:id="1003242487">
              <w:marLeft w:val="0"/>
              <w:marRight w:val="0"/>
              <w:marTop w:val="0"/>
              <w:marBottom w:val="0"/>
              <w:divBdr>
                <w:top w:val="none" w:sz="0" w:space="0" w:color="auto"/>
                <w:left w:val="none" w:sz="0" w:space="0" w:color="auto"/>
                <w:bottom w:val="none" w:sz="0" w:space="0" w:color="auto"/>
                <w:right w:val="none" w:sz="0" w:space="0" w:color="auto"/>
              </w:divBdr>
              <w:divsChild>
                <w:div w:id="10065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7862">
      <w:bodyDiv w:val="1"/>
      <w:marLeft w:val="0"/>
      <w:marRight w:val="0"/>
      <w:marTop w:val="0"/>
      <w:marBottom w:val="0"/>
      <w:divBdr>
        <w:top w:val="none" w:sz="0" w:space="0" w:color="auto"/>
        <w:left w:val="none" w:sz="0" w:space="0" w:color="auto"/>
        <w:bottom w:val="none" w:sz="0" w:space="0" w:color="auto"/>
        <w:right w:val="none" w:sz="0" w:space="0" w:color="auto"/>
      </w:divBdr>
      <w:divsChild>
        <w:div w:id="214434506">
          <w:marLeft w:val="0"/>
          <w:marRight w:val="0"/>
          <w:marTop w:val="0"/>
          <w:marBottom w:val="0"/>
          <w:divBdr>
            <w:top w:val="none" w:sz="0" w:space="0" w:color="auto"/>
            <w:left w:val="none" w:sz="0" w:space="0" w:color="auto"/>
            <w:bottom w:val="none" w:sz="0" w:space="0" w:color="auto"/>
            <w:right w:val="none" w:sz="0" w:space="0" w:color="auto"/>
          </w:divBdr>
          <w:divsChild>
            <w:div w:id="493960003">
              <w:marLeft w:val="0"/>
              <w:marRight w:val="0"/>
              <w:marTop w:val="0"/>
              <w:marBottom w:val="0"/>
              <w:divBdr>
                <w:top w:val="none" w:sz="0" w:space="0" w:color="auto"/>
                <w:left w:val="none" w:sz="0" w:space="0" w:color="auto"/>
                <w:bottom w:val="none" w:sz="0" w:space="0" w:color="auto"/>
                <w:right w:val="none" w:sz="0" w:space="0" w:color="auto"/>
              </w:divBdr>
              <w:divsChild>
                <w:div w:id="17533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1010">
      <w:bodyDiv w:val="1"/>
      <w:marLeft w:val="0"/>
      <w:marRight w:val="0"/>
      <w:marTop w:val="0"/>
      <w:marBottom w:val="0"/>
      <w:divBdr>
        <w:top w:val="none" w:sz="0" w:space="0" w:color="auto"/>
        <w:left w:val="none" w:sz="0" w:space="0" w:color="auto"/>
        <w:bottom w:val="none" w:sz="0" w:space="0" w:color="auto"/>
        <w:right w:val="none" w:sz="0" w:space="0" w:color="auto"/>
      </w:divBdr>
      <w:divsChild>
        <w:div w:id="357704583">
          <w:marLeft w:val="0"/>
          <w:marRight w:val="0"/>
          <w:marTop w:val="0"/>
          <w:marBottom w:val="0"/>
          <w:divBdr>
            <w:top w:val="none" w:sz="0" w:space="0" w:color="auto"/>
            <w:left w:val="none" w:sz="0" w:space="0" w:color="auto"/>
            <w:bottom w:val="none" w:sz="0" w:space="0" w:color="auto"/>
            <w:right w:val="none" w:sz="0" w:space="0" w:color="auto"/>
          </w:divBdr>
          <w:divsChild>
            <w:div w:id="477769024">
              <w:marLeft w:val="0"/>
              <w:marRight w:val="0"/>
              <w:marTop w:val="0"/>
              <w:marBottom w:val="0"/>
              <w:divBdr>
                <w:top w:val="none" w:sz="0" w:space="0" w:color="auto"/>
                <w:left w:val="none" w:sz="0" w:space="0" w:color="auto"/>
                <w:bottom w:val="none" w:sz="0" w:space="0" w:color="auto"/>
                <w:right w:val="none" w:sz="0" w:space="0" w:color="auto"/>
              </w:divBdr>
              <w:divsChild>
                <w:div w:id="1173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hyperlink" Target="http://www.aneel.org.br" TargetMode="External"/><Relationship Id="rId21" Type="http://schemas.openxmlformats.org/officeDocument/2006/relationships/hyperlink" Target="http://dx.doi.org/10.1016/j.jclepro.2014.09.082" TargetMode="External"/><Relationship Id="rId22" Type="http://schemas.openxmlformats.org/officeDocument/2006/relationships/hyperlink" Target="http://www.oecd.org/" TargetMode="External"/><Relationship Id="rId23" Type="http://schemas.openxmlformats.org/officeDocument/2006/relationships/hyperlink" Target="http://www.abbc.org.br/arquivos/o_risco_regulatorio.pdf"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hyperlink" Target="http://textalyser.net/" TargetMode="External"/><Relationship Id="rId13" Type="http://schemas.openxmlformats.org/officeDocument/2006/relationships/chart" Target="charts/chart1.xml"/><Relationship Id="rId14" Type="http://schemas.openxmlformats.org/officeDocument/2006/relationships/hyperlink" Target="javascript:LinkDetalhes(parent.hiddenFrame.modo_busca,201,21,101845,1,&amp;apos;resultado&amp;apos;,2);" TargetMode="External"/><Relationship Id="rId15" Type="http://schemas.openxmlformats.org/officeDocument/2006/relationships/hyperlink" Target="javascript:LinkDetalhes(parent.hiddenFrame.modo_busca,58,56,144757,3,&amp;apos;resultado&amp;apos;,2);" TargetMode="External"/><Relationship Id="rId16" Type="http://schemas.openxmlformats.org/officeDocument/2006/relationships/hyperlink" Target="javascript:LinkDetalhes(parent.hiddenFrame.modo_busca,209,40,58700,2,&amp;apos;resultado&amp;apos;,2);" TargetMode="External"/><Relationship Id="rId17" Type="http://schemas.openxmlformats.org/officeDocument/2006/relationships/hyperlink" Target="javascript:LinkDetalhes(parent.hiddenFrame.modo_busca,246,108,75640,5,&amp;apos;resultado&amp;apos;,2);" TargetMode="External"/><Relationship Id="rId18" Type="http://schemas.openxmlformats.org/officeDocument/2006/relationships/hyperlink" Target="javascript:LinkDetalhes(parent.hiddenFrame.modo_busca,300,89,128835,4,&amp;apos;resultado&amp;apos;,2);" TargetMode="External"/><Relationship Id="rId19" Type="http://schemas.openxmlformats.org/officeDocument/2006/relationships/chart" Target="charts/char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Sheet1!$E$8:$E$13</c:f>
              <c:strCache>
                <c:ptCount val="6"/>
                <c:pt idx="0">
                  <c:v>Law 8,987/95</c:v>
                </c:pt>
                <c:pt idx="1">
                  <c:v>Law 9,074/95</c:v>
                </c:pt>
                <c:pt idx="2">
                  <c:v>law 9,648/98</c:v>
                </c:pt>
                <c:pt idx="3">
                  <c:v>Law 10,604/02</c:v>
                </c:pt>
                <c:pt idx="4">
                  <c:v>Law 10,848/04</c:v>
                </c:pt>
                <c:pt idx="5">
                  <c:v>Law 12,783/13</c:v>
                </c:pt>
              </c:strCache>
            </c:strRef>
          </c:cat>
          <c:val>
            <c:numRef>
              <c:f>Sheet1!$F$8:$F$13</c:f>
              <c:numCache>
                <c:formatCode>0.00%</c:formatCode>
                <c:ptCount val="6"/>
                <c:pt idx="0">
                  <c:v>0.18</c:v>
                </c:pt>
                <c:pt idx="1">
                  <c:v>0.14</c:v>
                </c:pt>
                <c:pt idx="2">
                  <c:v>0.06</c:v>
                </c:pt>
                <c:pt idx="3">
                  <c:v>0.11</c:v>
                </c:pt>
                <c:pt idx="4">
                  <c:v>0.28</c:v>
                </c:pt>
                <c:pt idx="5">
                  <c:v>0.24</c:v>
                </c:pt>
              </c:numCache>
            </c:numRef>
          </c:val>
        </c:ser>
        <c:dLbls>
          <c:showLegendKey val="0"/>
          <c:showVal val="0"/>
          <c:showCatName val="0"/>
          <c:showSerName val="0"/>
          <c:showPercent val="0"/>
          <c:showBubbleSize val="0"/>
        </c:dLbls>
        <c:gapWidth val="150"/>
        <c:axId val="2052167288"/>
        <c:axId val="2059015752"/>
      </c:barChart>
      <c:catAx>
        <c:axId val="2052167288"/>
        <c:scaling>
          <c:orientation val="minMax"/>
        </c:scaling>
        <c:delete val="0"/>
        <c:axPos val="b"/>
        <c:majorTickMark val="out"/>
        <c:minorTickMark val="none"/>
        <c:tickLblPos val="nextTo"/>
        <c:txPr>
          <a:bodyPr rot="-5400000" vert="horz"/>
          <a:lstStyle/>
          <a:p>
            <a:pPr>
              <a:defRPr/>
            </a:pPr>
            <a:endParaRPr lang="en-US"/>
          </a:p>
        </c:txPr>
        <c:crossAx val="2059015752"/>
        <c:crosses val="autoZero"/>
        <c:auto val="1"/>
        <c:lblAlgn val="ctr"/>
        <c:lblOffset val="100"/>
        <c:noMultiLvlLbl val="0"/>
      </c:catAx>
      <c:valAx>
        <c:axId val="2059015752"/>
        <c:scaling>
          <c:orientation val="minMax"/>
        </c:scaling>
        <c:delete val="0"/>
        <c:axPos val="l"/>
        <c:majorGridlines/>
        <c:numFmt formatCode="0.00%" sourceLinked="1"/>
        <c:majorTickMark val="out"/>
        <c:minorTickMark val="none"/>
        <c:tickLblPos val="nextTo"/>
        <c:crossAx val="2052167288"/>
        <c:crosses val="autoZero"/>
        <c:crossBetween val="between"/>
      </c:valAx>
    </c:plotArea>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Sheet1!$E$40:$E$49</c:f>
              <c:strCache>
                <c:ptCount val="10"/>
                <c:pt idx="0">
                  <c:v>Ordinance 267/1995</c:v>
                </c:pt>
                <c:pt idx="1">
                  <c:v>Resolution 273/1995</c:v>
                </c:pt>
                <c:pt idx="2">
                  <c:v>Intermittent ordinance</c:v>
                </c:pt>
                <c:pt idx="3">
                  <c:v>Resolutions GCE 102/2002</c:v>
                </c:pt>
                <c:pt idx="4">
                  <c:v>Resolutions 152/2003 and decree 4667/2003</c:v>
                </c:pt>
                <c:pt idx="5">
                  <c:v>Resolution ANEEL 459/2003</c:v>
                </c:pt>
                <c:pt idx="6">
                  <c:v>Normative resolution 001/2004</c:v>
                </c:pt>
                <c:pt idx="7">
                  <c:v>Normative resolution 062/2004 and decree 5081/2004</c:v>
                </c:pt>
                <c:pt idx="8">
                  <c:v>Normative resolution 210/2006</c:v>
                </c:pt>
                <c:pt idx="9">
                  <c:v>Resolution Approvid 491/2012 and resolution approved</c:v>
                </c:pt>
              </c:strCache>
            </c:strRef>
          </c:cat>
          <c:val>
            <c:numRef>
              <c:f>Sheet1!$F$40:$F$49</c:f>
              <c:numCache>
                <c:formatCode>0.00%</c:formatCode>
                <c:ptCount val="10"/>
                <c:pt idx="0">
                  <c:v>0.015</c:v>
                </c:pt>
                <c:pt idx="1">
                  <c:v>0.05</c:v>
                </c:pt>
                <c:pt idx="2">
                  <c:v>0.02</c:v>
                </c:pt>
                <c:pt idx="3">
                  <c:v>0.045</c:v>
                </c:pt>
                <c:pt idx="4">
                  <c:v>0.37</c:v>
                </c:pt>
                <c:pt idx="5">
                  <c:v>0.025</c:v>
                </c:pt>
                <c:pt idx="6">
                  <c:v>0.06</c:v>
                </c:pt>
                <c:pt idx="7">
                  <c:v>0.13</c:v>
                </c:pt>
                <c:pt idx="8">
                  <c:v>0.065</c:v>
                </c:pt>
                <c:pt idx="9">
                  <c:v>0.07</c:v>
                </c:pt>
              </c:numCache>
            </c:numRef>
          </c:val>
        </c:ser>
        <c:dLbls>
          <c:showLegendKey val="0"/>
          <c:showVal val="0"/>
          <c:showCatName val="0"/>
          <c:showSerName val="0"/>
          <c:showPercent val="0"/>
          <c:showBubbleSize val="0"/>
        </c:dLbls>
        <c:gapWidth val="150"/>
        <c:axId val="2059356360"/>
        <c:axId val="2049377336"/>
      </c:barChart>
      <c:catAx>
        <c:axId val="2059356360"/>
        <c:scaling>
          <c:orientation val="minMax"/>
        </c:scaling>
        <c:delete val="0"/>
        <c:axPos val="b"/>
        <c:majorTickMark val="out"/>
        <c:minorTickMark val="none"/>
        <c:tickLblPos val="nextTo"/>
        <c:txPr>
          <a:bodyPr/>
          <a:lstStyle/>
          <a:p>
            <a:pPr algn="ctr">
              <a:defRPr>
                <a:latin typeface="Times New Roman"/>
                <a:cs typeface="Times New Roman"/>
              </a:defRPr>
            </a:pPr>
            <a:endParaRPr lang="en-US"/>
          </a:p>
        </c:txPr>
        <c:crossAx val="2049377336"/>
        <c:crosses val="autoZero"/>
        <c:auto val="1"/>
        <c:lblAlgn val="ctr"/>
        <c:lblOffset val="100"/>
        <c:noMultiLvlLbl val="0"/>
      </c:catAx>
      <c:valAx>
        <c:axId val="2049377336"/>
        <c:scaling>
          <c:orientation val="minMax"/>
        </c:scaling>
        <c:delete val="0"/>
        <c:axPos val="l"/>
        <c:majorGridlines/>
        <c:numFmt formatCode="0.00%" sourceLinked="1"/>
        <c:majorTickMark val="out"/>
        <c:minorTickMark val="none"/>
        <c:tickLblPos val="nextTo"/>
        <c:crossAx val="2059356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0F3F-090D-C249-9A71-E15620DE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8754</Words>
  <Characters>49898</Characters>
  <Application>Microsoft Macintosh Word</Application>
  <DocSecurity>0</DocSecurity>
  <Lines>415</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2014-12-21T03:34:00Z</dcterms:created>
  <dcterms:modified xsi:type="dcterms:W3CDTF">2014-12-21T03:34:00Z</dcterms:modified>
</cp:coreProperties>
</file>